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35B6" w14:textId="77777777" w:rsidR="00A63F8B" w:rsidRDefault="00A63F8B" w:rsidP="00A63F8B">
      <w:pPr>
        <w:spacing w:after="0" w:line="240" w:lineRule="auto"/>
        <w:ind w:left="-567" w:right="-641"/>
      </w:pPr>
      <w:bookmarkStart w:id="0" w:name="_GoBack"/>
      <w:bookmarkEnd w:id="0"/>
      <w:r>
        <w:rPr>
          <w:noProof/>
          <w:lang w:eastAsia="en-GB"/>
        </w:rPr>
        <w:drawing>
          <wp:anchor distT="0" distB="0" distL="114300" distR="114300" simplePos="0" relativeHeight="251659264" behindDoc="0" locked="0" layoutInCell="1" allowOverlap="1" wp14:anchorId="63D2E9B8" wp14:editId="2D5D2564">
            <wp:simplePos x="0" y="0"/>
            <wp:positionH relativeFrom="column">
              <wp:posOffset>705485</wp:posOffset>
            </wp:positionH>
            <wp:positionV relativeFrom="paragraph">
              <wp:posOffset>85887</wp:posOffset>
            </wp:positionV>
            <wp:extent cx="3122955" cy="320634"/>
            <wp:effectExtent l="171450" t="152400" r="153670" b="1943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clrChange>
                        <a:clrFrom>
                          <a:srgbClr val="FEFEFE"/>
                        </a:clrFrom>
                        <a:clrTo>
                          <a:srgbClr val="FEFEFE">
                            <a:alpha val="0"/>
                          </a:srgbClr>
                        </a:clrTo>
                      </a:clrChange>
                      <a:duotone>
                        <a:schemeClr val="accent4">
                          <a:shade val="45000"/>
                          <a:satMod val="135000"/>
                        </a:schemeClr>
                        <a:prstClr val="white"/>
                      </a:duotone>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17323" t="24048" r="759" b="39956"/>
                    <a:stretch/>
                  </pic:blipFill>
                  <pic:spPr bwMode="auto">
                    <a:xfrm>
                      <a:off x="0" y="0"/>
                      <a:ext cx="3122955" cy="320634"/>
                    </a:xfrm>
                    <a:prstGeom prst="rect">
                      <a:avLst/>
                    </a:prstGeom>
                    <a:ln>
                      <a:noFill/>
                    </a:ln>
                    <a:effectLst>
                      <a:glow rad="177800">
                        <a:srgbClr val="002060"/>
                      </a:glo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1" locked="0" layoutInCell="1" allowOverlap="1" wp14:anchorId="6970363B" wp14:editId="10DD6B86">
                <wp:simplePos x="0" y="0"/>
                <wp:positionH relativeFrom="column">
                  <wp:posOffset>-890649</wp:posOffset>
                </wp:positionH>
                <wp:positionV relativeFrom="paragraph">
                  <wp:posOffset>36673</wp:posOffset>
                </wp:positionV>
                <wp:extent cx="10652125" cy="736270"/>
                <wp:effectExtent l="0" t="0" r="0" b="6985"/>
                <wp:wrapNone/>
                <wp:docPr id="4" name="Rectangle 4"/>
                <wp:cNvGraphicFramePr/>
                <a:graphic xmlns:a="http://schemas.openxmlformats.org/drawingml/2006/main">
                  <a:graphicData uri="http://schemas.microsoft.com/office/word/2010/wordprocessingShape">
                    <wps:wsp>
                      <wps:cNvSpPr/>
                      <wps:spPr>
                        <a:xfrm>
                          <a:off x="0" y="0"/>
                          <a:ext cx="10652125" cy="73627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03F37" id="Rectangle 4" o:spid="_x0000_s1026" style="position:absolute;margin-left:-70.15pt;margin-top:2.9pt;width:838.75pt;height:57.9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" fillcolor="#002060" stroked="f" strokeweight="1pt"/>
            </w:pict>
          </mc:Fallback>
        </mc:AlternateContent>
      </w:r>
      <w:r>
        <w:rPr>
          <w:noProof/>
          <w:lang w:eastAsia="en-GB"/>
        </w:rPr>
        <w:drawing>
          <wp:anchor distT="0" distB="0" distL="114300" distR="114300" simplePos="0" relativeHeight="251661312" behindDoc="0" locked="0" layoutInCell="1" allowOverlap="1" wp14:anchorId="1972B159" wp14:editId="600A699D">
            <wp:simplePos x="0" y="0"/>
            <wp:positionH relativeFrom="column">
              <wp:posOffset>-605485</wp:posOffset>
            </wp:positionH>
            <wp:positionV relativeFrom="paragraph">
              <wp:posOffset>-206705</wp:posOffset>
            </wp:positionV>
            <wp:extent cx="1140031" cy="1338864"/>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Cut out.png"/>
                    <pic:cNvPicPr/>
                  </pic:nvPicPr>
                  <pic:blipFill>
                    <a:blip r:embed="rId7" cstate="print">
                      <a:clrChange>
                        <a:clrFrom>
                          <a:srgbClr val="7F7F7F"/>
                        </a:clrFrom>
                        <a:clrTo>
                          <a:srgbClr val="7F7F7F">
                            <a:alpha val="0"/>
                          </a:srgbClr>
                        </a:clrTo>
                      </a:clrChange>
                      <a:extLst>
                        <a:ext uri="{28A0092B-C50C-407E-A947-70E740481C1C}">
                          <a14:useLocalDpi xmlns:a14="http://schemas.microsoft.com/office/drawing/2010/main" val="0"/>
                        </a:ext>
                      </a:extLst>
                    </a:blip>
                    <a:stretch>
                      <a:fillRect/>
                    </a:stretch>
                  </pic:blipFill>
                  <pic:spPr>
                    <a:xfrm>
                      <a:off x="0" y="0"/>
                      <a:ext cx="1140031" cy="1338864"/>
                    </a:xfrm>
                    <a:prstGeom prst="rect">
                      <a:avLst/>
                    </a:prstGeom>
                  </pic:spPr>
                </pic:pic>
              </a:graphicData>
            </a:graphic>
            <wp14:sizeRelH relativeFrom="page">
              <wp14:pctWidth>0</wp14:pctWidth>
            </wp14:sizeRelH>
            <wp14:sizeRelV relativeFrom="page">
              <wp14:pctHeight>0</wp14:pctHeight>
            </wp14:sizeRelV>
          </wp:anchor>
        </w:drawing>
      </w:r>
    </w:p>
    <w:p w14:paraId="6A325078" w14:textId="77777777" w:rsidR="00A63F8B" w:rsidRDefault="00A63F8B" w:rsidP="00A63F8B">
      <w:pPr>
        <w:spacing w:after="0" w:line="240" w:lineRule="auto"/>
        <w:ind w:left="1134" w:right="-641"/>
        <w:rPr>
          <w:rFonts w:ascii="Cambria" w:hAnsi="Cambria"/>
          <w:b/>
          <w:color w:val="FFFFFF" w:themeColor="background1"/>
          <w:sz w:val="36"/>
          <w:szCs w:val="36"/>
        </w:rPr>
      </w:pPr>
    </w:p>
    <w:p w14:paraId="27460521" w14:textId="77777777" w:rsidR="00A63F8B" w:rsidRPr="00A63F8B" w:rsidRDefault="00825892" w:rsidP="00A63F8B">
      <w:pPr>
        <w:spacing w:after="0" w:line="240" w:lineRule="auto"/>
        <w:ind w:left="1134" w:right="-641"/>
        <w:rPr>
          <w:rFonts w:ascii="Cambria" w:hAnsi="Cambria"/>
          <w:b/>
          <w:color w:val="FFFFFF" w:themeColor="background1"/>
          <w:sz w:val="36"/>
          <w:szCs w:val="36"/>
        </w:rPr>
      </w:pPr>
      <w:r>
        <w:rPr>
          <w:rFonts w:ascii="Cambria" w:hAnsi="Cambria"/>
          <w:b/>
          <w:color w:val="FFFFFF" w:themeColor="background1"/>
          <w:sz w:val="36"/>
          <w:szCs w:val="36"/>
        </w:rPr>
        <w:t>REVIEW OF EXPENDITURE AND PP IMPACT SUMMARY 2016/17</w:t>
      </w:r>
    </w:p>
    <w:p w14:paraId="443F8E4B" w14:textId="77777777" w:rsidR="00A63F8B" w:rsidRDefault="00A63F8B" w:rsidP="00A63F8B">
      <w:pPr>
        <w:spacing w:after="0" w:line="240" w:lineRule="auto"/>
        <w:ind w:left="-567" w:right="-641"/>
      </w:pPr>
    </w:p>
    <w:p w14:paraId="55429BC7" w14:textId="77777777" w:rsidR="00A63F8B" w:rsidRDefault="00A63F8B" w:rsidP="00A63F8B">
      <w:pPr>
        <w:spacing w:after="0" w:line="240" w:lineRule="auto"/>
        <w:ind w:left="-567" w:right="-641"/>
      </w:pPr>
    </w:p>
    <w:p w14:paraId="775EF489" w14:textId="77777777" w:rsidR="00A63F8B" w:rsidRDefault="00A63F8B" w:rsidP="00AC3D4C">
      <w:pPr>
        <w:spacing w:after="0" w:line="240" w:lineRule="auto"/>
        <w:ind w:right="-641"/>
      </w:pPr>
    </w:p>
    <w:tbl>
      <w:tblPr>
        <w:tblStyle w:val="TableGrid"/>
        <w:tblpPr w:leftFromText="180" w:rightFromText="180" w:vertAnchor="text" w:tblpX="13" w:tblpY="1"/>
        <w:tblOverlap w:val="never"/>
        <w:tblW w:w="13908" w:type="dxa"/>
        <w:tblLook w:val="04A0" w:firstRow="1" w:lastRow="0" w:firstColumn="1" w:lastColumn="0" w:noHBand="0" w:noVBand="1"/>
      </w:tblPr>
      <w:tblGrid>
        <w:gridCol w:w="1560"/>
        <w:gridCol w:w="2003"/>
        <w:gridCol w:w="7792"/>
        <w:gridCol w:w="2553"/>
      </w:tblGrid>
      <w:tr w:rsidR="00712FD5" w:rsidRPr="009E32CD" w14:paraId="62582A4B" w14:textId="77777777" w:rsidTr="00712FD5">
        <w:trPr>
          <w:trHeight w:val="845"/>
        </w:trPr>
        <w:tc>
          <w:tcPr>
            <w:tcW w:w="1827" w:type="dxa"/>
            <w:shd w:val="clear" w:color="auto" w:fill="DEEAF6" w:themeFill="accent1" w:themeFillTint="33"/>
            <w:vAlign w:val="center"/>
          </w:tcPr>
          <w:p w14:paraId="520AE129" w14:textId="77777777" w:rsidR="00712FD5" w:rsidRPr="009E32CD" w:rsidRDefault="00712FD5" w:rsidP="00AC3D4C">
            <w:pPr>
              <w:jc w:val="center"/>
              <w:rPr>
                <w:rFonts w:ascii="Helvetica" w:hAnsi="Helvetica"/>
                <w:b/>
                <w:sz w:val="20"/>
                <w:szCs w:val="20"/>
              </w:rPr>
            </w:pPr>
            <w:r w:rsidRPr="009E32CD">
              <w:rPr>
                <w:rFonts w:ascii="Helvetica" w:hAnsi="Helvetica"/>
                <w:b/>
                <w:sz w:val="20"/>
                <w:szCs w:val="20"/>
              </w:rPr>
              <w:t>Desired outcome</w:t>
            </w:r>
          </w:p>
        </w:tc>
        <w:tc>
          <w:tcPr>
            <w:tcW w:w="2194" w:type="dxa"/>
            <w:shd w:val="clear" w:color="auto" w:fill="DEEAF6" w:themeFill="accent1" w:themeFillTint="33"/>
            <w:vAlign w:val="center"/>
          </w:tcPr>
          <w:p w14:paraId="066CCEC5" w14:textId="77777777" w:rsidR="00712FD5" w:rsidRPr="009E32CD" w:rsidRDefault="00712FD5" w:rsidP="00AC3D4C">
            <w:pPr>
              <w:ind w:right="34"/>
              <w:jc w:val="center"/>
              <w:rPr>
                <w:rFonts w:ascii="Helvetica" w:hAnsi="Helvetica"/>
                <w:b/>
                <w:sz w:val="20"/>
                <w:szCs w:val="20"/>
              </w:rPr>
            </w:pPr>
            <w:r w:rsidRPr="009E32CD">
              <w:rPr>
                <w:rFonts w:ascii="Helvetica" w:hAnsi="Helvetica"/>
                <w:b/>
                <w:sz w:val="20"/>
                <w:szCs w:val="20"/>
              </w:rPr>
              <w:t>Chosen action/approach</w:t>
            </w:r>
          </w:p>
        </w:tc>
        <w:tc>
          <w:tcPr>
            <w:tcW w:w="6554" w:type="dxa"/>
            <w:shd w:val="clear" w:color="auto" w:fill="DEEAF6" w:themeFill="accent1" w:themeFillTint="33"/>
            <w:vAlign w:val="center"/>
          </w:tcPr>
          <w:p w14:paraId="17450C1F" w14:textId="77777777" w:rsidR="00712FD5" w:rsidRDefault="00712FD5" w:rsidP="00AC3D4C">
            <w:pPr>
              <w:ind w:right="33"/>
              <w:jc w:val="center"/>
              <w:rPr>
                <w:rFonts w:ascii="Helvetica" w:hAnsi="Helvetica"/>
                <w:b/>
                <w:sz w:val="20"/>
                <w:szCs w:val="20"/>
              </w:rPr>
            </w:pPr>
            <w:r>
              <w:rPr>
                <w:rFonts w:ascii="Helvetica" w:hAnsi="Helvetica"/>
                <w:b/>
                <w:sz w:val="20"/>
                <w:szCs w:val="20"/>
              </w:rPr>
              <w:t xml:space="preserve">Impact: Did you meet the success criteria? </w:t>
            </w:r>
          </w:p>
          <w:p w14:paraId="4EEECFB6" w14:textId="77777777" w:rsidR="00712FD5" w:rsidRDefault="00712FD5" w:rsidP="00AC3D4C">
            <w:pPr>
              <w:ind w:right="33"/>
              <w:jc w:val="center"/>
              <w:rPr>
                <w:rFonts w:ascii="Helvetica" w:hAnsi="Helvetica"/>
                <w:sz w:val="20"/>
                <w:szCs w:val="20"/>
              </w:rPr>
            </w:pPr>
            <w:r>
              <w:rPr>
                <w:rFonts w:ascii="Helvetica" w:hAnsi="Helvetica"/>
                <w:sz w:val="20"/>
                <w:szCs w:val="20"/>
              </w:rPr>
              <w:t>In</w:t>
            </w:r>
            <w:r w:rsidRPr="00C036D3">
              <w:rPr>
                <w:rFonts w:ascii="Helvetica" w:hAnsi="Helvetica"/>
                <w:sz w:val="20"/>
                <w:szCs w:val="20"/>
              </w:rPr>
              <w:t>c</w:t>
            </w:r>
            <w:r>
              <w:rPr>
                <w:rFonts w:ascii="Helvetica" w:hAnsi="Helvetica"/>
                <w:sz w:val="20"/>
                <w:szCs w:val="20"/>
              </w:rPr>
              <w:t>l</w:t>
            </w:r>
            <w:r w:rsidRPr="00C036D3">
              <w:rPr>
                <w:rFonts w:ascii="Helvetica" w:hAnsi="Helvetica"/>
                <w:sz w:val="20"/>
                <w:szCs w:val="20"/>
              </w:rPr>
              <w:t>ude impact on students not eligible for PP,</w:t>
            </w:r>
          </w:p>
          <w:p w14:paraId="3AA359C6" w14:textId="77777777" w:rsidR="00712FD5" w:rsidRPr="00C036D3" w:rsidRDefault="00712FD5" w:rsidP="00AC3D4C">
            <w:pPr>
              <w:ind w:right="33"/>
              <w:jc w:val="center"/>
              <w:rPr>
                <w:rFonts w:ascii="Helvetica" w:hAnsi="Helvetica"/>
                <w:sz w:val="20"/>
                <w:szCs w:val="20"/>
              </w:rPr>
            </w:pPr>
            <w:r w:rsidRPr="00C036D3">
              <w:rPr>
                <w:rFonts w:ascii="Helvetica" w:hAnsi="Helvetica"/>
                <w:sz w:val="20"/>
                <w:szCs w:val="20"/>
              </w:rPr>
              <w:t xml:space="preserve"> </w:t>
            </w:r>
            <w:proofErr w:type="gramStart"/>
            <w:r w:rsidRPr="00C036D3">
              <w:rPr>
                <w:rFonts w:ascii="Helvetica" w:hAnsi="Helvetica"/>
                <w:sz w:val="20"/>
                <w:szCs w:val="20"/>
              </w:rPr>
              <w:t>if</w:t>
            </w:r>
            <w:proofErr w:type="gramEnd"/>
            <w:r w:rsidRPr="00C036D3">
              <w:rPr>
                <w:rFonts w:ascii="Helvetica" w:hAnsi="Helvetica"/>
                <w:sz w:val="20"/>
                <w:szCs w:val="20"/>
              </w:rPr>
              <w:t xml:space="preserve"> appropriate.</w:t>
            </w:r>
          </w:p>
        </w:tc>
        <w:tc>
          <w:tcPr>
            <w:tcW w:w="3333" w:type="dxa"/>
            <w:shd w:val="clear" w:color="auto" w:fill="DEEAF6" w:themeFill="accent1" w:themeFillTint="33"/>
            <w:vAlign w:val="center"/>
          </w:tcPr>
          <w:p w14:paraId="27B7E6E9" w14:textId="77777777" w:rsidR="00712FD5" w:rsidRDefault="00712FD5" w:rsidP="00AC3D4C">
            <w:pPr>
              <w:jc w:val="center"/>
              <w:rPr>
                <w:rFonts w:ascii="Helvetica" w:hAnsi="Helvetica"/>
                <w:b/>
                <w:sz w:val="20"/>
                <w:szCs w:val="20"/>
              </w:rPr>
            </w:pPr>
            <w:r>
              <w:rPr>
                <w:rFonts w:ascii="Helvetica" w:hAnsi="Helvetica"/>
                <w:b/>
                <w:sz w:val="20"/>
                <w:szCs w:val="20"/>
              </w:rPr>
              <w:t>Lessons Learned</w:t>
            </w:r>
          </w:p>
          <w:p w14:paraId="55223449" w14:textId="77777777" w:rsidR="00712FD5" w:rsidRPr="00C036D3" w:rsidRDefault="00712FD5" w:rsidP="00AC3D4C">
            <w:pPr>
              <w:jc w:val="center"/>
              <w:rPr>
                <w:rFonts w:ascii="Helvetica" w:hAnsi="Helvetica"/>
                <w:sz w:val="20"/>
                <w:szCs w:val="20"/>
              </w:rPr>
            </w:pPr>
            <w:r w:rsidRPr="00C036D3">
              <w:rPr>
                <w:rFonts w:ascii="Helvetica" w:hAnsi="Helvetica"/>
                <w:sz w:val="20"/>
                <w:szCs w:val="20"/>
              </w:rPr>
              <w:t>(Will continue with this approach)</w:t>
            </w:r>
          </w:p>
        </w:tc>
      </w:tr>
      <w:tr w:rsidR="00712FD5" w:rsidRPr="0024690C" w14:paraId="1F1D54E1" w14:textId="77777777" w:rsidTr="00712FD5">
        <w:trPr>
          <w:trHeight w:val="565"/>
        </w:trPr>
        <w:tc>
          <w:tcPr>
            <w:tcW w:w="1827" w:type="dxa"/>
          </w:tcPr>
          <w:p w14:paraId="6B5B764E" w14:textId="77777777" w:rsidR="00712FD5" w:rsidRDefault="00712FD5" w:rsidP="00AC3D4C">
            <w:pPr>
              <w:rPr>
                <w:rFonts w:ascii="Helvetica" w:hAnsi="Helvetica"/>
                <w:b/>
                <w:sz w:val="20"/>
                <w:szCs w:val="20"/>
              </w:rPr>
            </w:pPr>
          </w:p>
          <w:p w14:paraId="2ED6803A" w14:textId="77777777" w:rsidR="00712FD5" w:rsidRDefault="00712FD5" w:rsidP="00AC3D4C">
            <w:pPr>
              <w:rPr>
                <w:rFonts w:ascii="Helvetica" w:hAnsi="Helvetica"/>
                <w:b/>
                <w:sz w:val="20"/>
                <w:szCs w:val="20"/>
              </w:rPr>
            </w:pPr>
            <w:r>
              <w:rPr>
                <w:rFonts w:ascii="Helvetica" w:hAnsi="Helvetica"/>
                <w:b/>
                <w:sz w:val="20"/>
                <w:szCs w:val="20"/>
              </w:rPr>
              <w:t>Improve teaching and earning to improve outcomes</w:t>
            </w:r>
          </w:p>
          <w:p w14:paraId="76020E81" w14:textId="77777777" w:rsidR="00712FD5" w:rsidRDefault="00712FD5" w:rsidP="00AC3D4C">
            <w:pPr>
              <w:rPr>
                <w:rFonts w:ascii="Helvetica" w:hAnsi="Helvetica"/>
                <w:b/>
                <w:sz w:val="20"/>
                <w:szCs w:val="20"/>
              </w:rPr>
            </w:pPr>
          </w:p>
          <w:p w14:paraId="47F3581C" w14:textId="77777777" w:rsidR="00712FD5" w:rsidRDefault="00712FD5" w:rsidP="00AC3D4C">
            <w:pPr>
              <w:rPr>
                <w:rFonts w:ascii="Helvetica" w:hAnsi="Helvetica"/>
                <w:b/>
                <w:sz w:val="20"/>
                <w:szCs w:val="20"/>
              </w:rPr>
            </w:pPr>
          </w:p>
          <w:p w14:paraId="5D87FDB7" w14:textId="77777777" w:rsidR="00712FD5" w:rsidRDefault="00712FD5" w:rsidP="00AC3D4C">
            <w:pPr>
              <w:rPr>
                <w:rFonts w:ascii="Helvetica" w:hAnsi="Helvetica"/>
                <w:b/>
                <w:sz w:val="20"/>
                <w:szCs w:val="20"/>
              </w:rPr>
            </w:pPr>
          </w:p>
          <w:p w14:paraId="451D43A0" w14:textId="77777777" w:rsidR="00712FD5" w:rsidRDefault="00712FD5" w:rsidP="00AC3D4C">
            <w:pPr>
              <w:rPr>
                <w:rFonts w:ascii="Helvetica" w:hAnsi="Helvetica"/>
                <w:b/>
                <w:sz w:val="20"/>
                <w:szCs w:val="20"/>
              </w:rPr>
            </w:pPr>
          </w:p>
          <w:p w14:paraId="0EB82B6B" w14:textId="77777777" w:rsidR="00712FD5" w:rsidRDefault="00712FD5" w:rsidP="00AC3D4C">
            <w:pPr>
              <w:rPr>
                <w:rFonts w:ascii="Helvetica" w:hAnsi="Helvetica"/>
                <w:b/>
                <w:sz w:val="20"/>
                <w:szCs w:val="20"/>
              </w:rPr>
            </w:pPr>
          </w:p>
          <w:p w14:paraId="4A6656A0" w14:textId="77777777" w:rsidR="00712FD5" w:rsidRDefault="00712FD5" w:rsidP="00AC3D4C">
            <w:pPr>
              <w:rPr>
                <w:rFonts w:ascii="Helvetica" w:hAnsi="Helvetica"/>
                <w:b/>
                <w:sz w:val="20"/>
                <w:szCs w:val="20"/>
              </w:rPr>
            </w:pPr>
          </w:p>
          <w:p w14:paraId="53161F27" w14:textId="77777777" w:rsidR="00712FD5" w:rsidRDefault="00712FD5" w:rsidP="00AC3D4C">
            <w:pPr>
              <w:rPr>
                <w:rFonts w:ascii="Helvetica" w:hAnsi="Helvetica"/>
                <w:b/>
                <w:sz w:val="20"/>
                <w:szCs w:val="20"/>
              </w:rPr>
            </w:pPr>
          </w:p>
          <w:p w14:paraId="12B5EBA5" w14:textId="77777777" w:rsidR="00712FD5" w:rsidRDefault="00712FD5" w:rsidP="00AC3D4C">
            <w:pPr>
              <w:rPr>
                <w:rFonts w:ascii="Helvetica" w:hAnsi="Helvetica"/>
                <w:b/>
                <w:sz w:val="20"/>
                <w:szCs w:val="20"/>
              </w:rPr>
            </w:pPr>
          </w:p>
          <w:p w14:paraId="681DCF90" w14:textId="77777777" w:rsidR="00712FD5" w:rsidRDefault="00712FD5" w:rsidP="00AC3D4C">
            <w:pPr>
              <w:rPr>
                <w:rFonts w:ascii="Helvetica" w:hAnsi="Helvetica"/>
                <w:b/>
                <w:sz w:val="20"/>
                <w:szCs w:val="20"/>
              </w:rPr>
            </w:pPr>
          </w:p>
          <w:p w14:paraId="5AB0B11C" w14:textId="77777777" w:rsidR="00712FD5" w:rsidRDefault="00712FD5" w:rsidP="00AC3D4C">
            <w:pPr>
              <w:rPr>
                <w:rFonts w:ascii="Helvetica" w:hAnsi="Helvetica"/>
                <w:b/>
                <w:sz w:val="20"/>
                <w:szCs w:val="20"/>
              </w:rPr>
            </w:pPr>
          </w:p>
          <w:p w14:paraId="47876B4B" w14:textId="77777777" w:rsidR="00712FD5" w:rsidRDefault="00712FD5" w:rsidP="00AC3D4C">
            <w:pPr>
              <w:rPr>
                <w:rFonts w:ascii="Helvetica" w:hAnsi="Helvetica"/>
                <w:b/>
                <w:sz w:val="20"/>
                <w:szCs w:val="20"/>
              </w:rPr>
            </w:pPr>
          </w:p>
          <w:p w14:paraId="312BFA35" w14:textId="77777777" w:rsidR="00712FD5" w:rsidRDefault="00712FD5" w:rsidP="00AC3D4C">
            <w:pPr>
              <w:rPr>
                <w:rFonts w:ascii="Helvetica" w:hAnsi="Helvetica"/>
                <w:b/>
                <w:sz w:val="20"/>
                <w:szCs w:val="20"/>
              </w:rPr>
            </w:pPr>
          </w:p>
          <w:p w14:paraId="7F2A948C" w14:textId="77777777" w:rsidR="00712FD5" w:rsidRDefault="00712FD5" w:rsidP="00AC3D4C">
            <w:pPr>
              <w:rPr>
                <w:rFonts w:ascii="Helvetica" w:hAnsi="Helvetica"/>
                <w:b/>
                <w:sz w:val="20"/>
                <w:szCs w:val="20"/>
              </w:rPr>
            </w:pPr>
          </w:p>
          <w:p w14:paraId="1F91C223" w14:textId="77777777" w:rsidR="00712FD5" w:rsidRDefault="00712FD5" w:rsidP="00AC3D4C">
            <w:pPr>
              <w:rPr>
                <w:rFonts w:ascii="Helvetica" w:hAnsi="Helvetica"/>
                <w:b/>
                <w:sz w:val="20"/>
                <w:szCs w:val="20"/>
              </w:rPr>
            </w:pPr>
          </w:p>
          <w:p w14:paraId="35D1752F" w14:textId="77777777" w:rsidR="00712FD5" w:rsidRDefault="00712FD5" w:rsidP="00AC3D4C">
            <w:pPr>
              <w:rPr>
                <w:rFonts w:ascii="Helvetica" w:hAnsi="Helvetica"/>
                <w:b/>
                <w:sz w:val="20"/>
                <w:szCs w:val="20"/>
              </w:rPr>
            </w:pPr>
          </w:p>
          <w:p w14:paraId="3F8955F4" w14:textId="77777777" w:rsidR="00712FD5" w:rsidRDefault="00712FD5" w:rsidP="00AC3D4C">
            <w:pPr>
              <w:rPr>
                <w:rFonts w:ascii="Helvetica" w:hAnsi="Helvetica"/>
                <w:b/>
                <w:sz w:val="20"/>
                <w:szCs w:val="20"/>
              </w:rPr>
            </w:pPr>
          </w:p>
          <w:p w14:paraId="12B34F3B" w14:textId="77777777" w:rsidR="00712FD5" w:rsidRDefault="00712FD5" w:rsidP="00AC3D4C">
            <w:pPr>
              <w:rPr>
                <w:rFonts w:ascii="Helvetica" w:hAnsi="Helvetica"/>
                <w:b/>
                <w:sz w:val="20"/>
                <w:szCs w:val="20"/>
              </w:rPr>
            </w:pPr>
          </w:p>
          <w:p w14:paraId="03F338E5" w14:textId="77777777" w:rsidR="00712FD5" w:rsidRDefault="00712FD5" w:rsidP="00AC3D4C">
            <w:pPr>
              <w:rPr>
                <w:rFonts w:ascii="Helvetica" w:hAnsi="Helvetica"/>
                <w:b/>
                <w:sz w:val="20"/>
                <w:szCs w:val="20"/>
              </w:rPr>
            </w:pPr>
          </w:p>
          <w:p w14:paraId="24DA4DFC" w14:textId="77777777" w:rsidR="00712FD5" w:rsidRDefault="00712FD5" w:rsidP="00AC3D4C">
            <w:pPr>
              <w:rPr>
                <w:rFonts w:ascii="Helvetica" w:hAnsi="Helvetica"/>
                <w:b/>
                <w:sz w:val="20"/>
                <w:szCs w:val="20"/>
              </w:rPr>
            </w:pPr>
          </w:p>
          <w:p w14:paraId="65EE7724" w14:textId="77777777" w:rsidR="00712FD5" w:rsidRDefault="00712FD5" w:rsidP="00AC3D4C">
            <w:pPr>
              <w:rPr>
                <w:rFonts w:ascii="Helvetica" w:hAnsi="Helvetica"/>
                <w:b/>
                <w:sz w:val="20"/>
                <w:szCs w:val="20"/>
              </w:rPr>
            </w:pPr>
          </w:p>
          <w:p w14:paraId="085D7B92" w14:textId="77777777" w:rsidR="00712FD5" w:rsidRDefault="00712FD5" w:rsidP="00AC3D4C">
            <w:pPr>
              <w:rPr>
                <w:rFonts w:ascii="Helvetica" w:hAnsi="Helvetica"/>
                <w:b/>
                <w:sz w:val="20"/>
                <w:szCs w:val="20"/>
              </w:rPr>
            </w:pPr>
          </w:p>
          <w:p w14:paraId="055A3B34" w14:textId="77777777" w:rsidR="00712FD5" w:rsidRDefault="00712FD5" w:rsidP="00AC3D4C">
            <w:pPr>
              <w:rPr>
                <w:rFonts w:ascii="Helvetica" w:hAnsi="Helvetica"/>
                <w:b/>
                <w:sz w:val="20"/>
                <w:szCs w:val="20"/>
              </w:rPr>
            </w:pPr>
          </w:p>
          <w:p w14:paraId="719DDEFA" w14:textId="77777777" w:rsidR="00712FD5" w:rsidRDefault="00712FD5" w:rsidP="00AC3D4C">
            <w:pPr>
              <w:rPr>
                <w:rFonts w:ascii="Helvetica" w:hAnsi="Helvetica"/>
                <w:b/>
                <w:sz w:val="20"/>
                <w:szCs w:val="20"/>
              </w:rPr>
            </w:pPr>
          </w:p>
          <w:p w14:paraId="508019A6" w14:textId="77777777" w:rsidR="00712FD5" w:rsidRDefault="00712FD5" w:rsidP="00AC3D4C">
            <w:pPr>
              <w:rPr>
                <w:rFonts w:ascii="Helvetica" w:hAnsi="Helvetica"/>
                <w:b/>
                <w:sz w:val="20"/>
                <w:szCs w:val="20"/>
              </w:rPr>
            </w:pPr>
          </w:p>
          <w:p w14:paraId="5D64E6D2" w14:textId="77777777" w:rsidR="00712FD5" w:rsidRDefault="00712FD5" w:rsidP="00AC3D4C">
            <w:pPr>
              <w:rPr>
                <w:rFonts w:ascii="Helvetica" w:hAnsi="Helvetica"/>
                <w:b/>
                <w:sz w:val="20"/>
                <w:szCs w:val="20"/>
              </w:rPr>
            </w:pPr>
          </w:p>
          <w:p w14:paraId="02F7E740" w14:textId="77777777" w:rsidR="00712FD5" w:rsidRDefault="00712FD5" w:rsidP="00AC3D4C">
            <w:pPr>
              <w:rPr>
                <w:rFonts w:ascii="Helvetica" w:hAnsi="Helvetica"/>
                <w:b/>
                <w:sz w:val="20"/>
                <w:szCs w:val="20"/>
              </w:rPr>
            </w:pPr>
          </w:p>
          <w:p w14:paraId="7B6F375F" w14:textId="77777777" w:rsidR="00712FD5" w:rsidRDefault="00712FD5" w:rsidP="00AC3D4C">
            <w:pPr>
              <w:rPr>
                <w:rFonts w:ascii="Helvetica" w:hAnsi="Helvetica"/>
                <w:b/>
                <w:sz w:val="20"/>
                <w:szCs w:val="20"/>
              </w:rPr>
            </w:pPr>
          </w:p>
          <w:p w14:paraId="74AC2F65" w14:textId="77777777" w:rsidR="00712FD5" w:rsidRDefault="00712FD5" w:rsidP="00AC3D4C">
            <w:pPr>
              <w:rPr>
                <w:rFonts w:ascii="Helvetica" w:hAnsi="Helvetica"/>
                <w:b/>
                <w:sz w:val="20"/>
                <w:szCs w:val="20"/>
              </w:rPr>
            </w:pPr>
          </w:p>
          <w:p w14:paraId="4EC2CF0B" w14:textId="607B7FB5" w:rsidR="00712FD5" w:rsidRDefault="00FD40ED" w:rsidP="00AC3D4C">
            <w:pPr>
              <w:rPr>
                <w:rFonts w:ascii="Helvetica" w:hAnsi="Helvetica"/>
                <w:b/>
                <w:sz w:val="20"/>
                <w:szCs w:val="20"/>
              </w:rPr>
            </w:pPr>
            <w:r>
              <w:rPr>
                <w:rFonts w:ascii="Helvetica" w:hAnsi="Helvetica"/>
                <w:b/>
                <w:sz w:val="20"/>
                <w:szCs w:val="20"/>
              </w:rPr>
              <w:t>I</w:t>
            </w:r>
            <w:r w:rsidR="00712FD5">
              <w:rPr>
                <w:rFonts w:ascii="Helvetica" w:hAnsi="Helvetica"/>
                <w:b/>
                <w:sz w:val="20"/>
                <w:szCs w:val="20"/>
              </w:rPr>
              <w:t>mprove attendance of PP students</w:t>
            </w:r>
          </w:p>
          <w:p w14:paraId="228DADBE" w14:textId="77777777" w:rsidR="00712FD5" w:rsidRDefault="00712FD5" w:rsidP="00AC3D4C">
            <w:pPr>
              <w:rPr>
                <w:rFonts w:ascii="Helvetica" w:hAnsi="Helvetica"/>
                <w:b/>
                <w:sz w:val="20"/>
                <w:szCs w:val="20"/>
              </w:rPr>
            </w:pPr>
          </w:p>
          <w:p w14:paraId="3DD30D81" w14:textId="77777777" w:rsidR="00AB3EA5" w:rsidRDefault="00AB3EA5" w:rsidP="00AC3D4C">
            <w:pPr>
              <w:rPr>
                <w:rFonts w:ascii="Helvetica" w:hAnsi="Helvetica"/>
                <w:b/>
                <w:sz w:val="20"/>
                <w:szCs w:val="20"/>
              </w:rPr>
            </w:pPr>
          </w:p>
          <w:p w14:paraId="177D9C1A" w14:textId="77777777" w:rsidR="00AB3EA5" w:rsidRDefault="00AB3EA5" w:rsidP="00AC3D4C">
            <w:pPr>
              <w:rPr>
                <w:rFonts w:ascii="Helvetica" w:hAnsi="Helvetica"/>
                <w:b/>
                <w:sz w:val="20"/>
                <w:szCs w:val="20"/>
              </w:rPr>
            </w:pPr>
          </w:p>
          <w:p w14:paraId="48DA503C" w14:textId="77777777" w:rsidR="00AB3EA5" w:rsidRDefault="00AB3EA5" w:rsidP="00AC3D4C">
            <w:pPr>
              <w:rPr>
                <w:rFonts w:ascii="Helvetica" w:hAnsi="Helvetica"/>
                <w:b/>
                <w:sz w:val="20"/>
                <w:szCs w:val="20"/>
              </w:rPr>
            </w:pPr>
          </w:p>
          <w:p w14:paraId="7A44EFE0" w14:textId="77777777" w:rsidR="00AB3EA5" w:rsidRDefault="00AB3EA5" w:rsidP="00AC3D4C">
            <w:pPr>
              <w:rPr>
                <w:rFonts w:ascii="Helvetica" w:hAnsi="Helvetica"/>
                <w:b/>
                <w:sz w:val="20"/>
                <w:szCs w:val="20"/>
              </w:rPr>
            </w:pPr>
          </w:p>
          <w:p w14:paraId="41B35BA9" w14:textId="77777777" w:rsidR="00AB3EA5" w:rsidRDefault="00AB3EA5" w:rsidP="00AC3D4C">
            <w:pPr>
              <w:rPr>
                <w:rFonts w:ascii="Helvetica" w:hAnsi="Helvetica"/>
                <w:b/>
                <w:sz w:val="20"/>
                <w:szCs w:val="20"/>
              </w:rPr>
            </w:pPr>
          </w:p>
          <w:p w14:paraId="18D042D4" w14:textId="77777777" w:rsidR="00AB3EA5" w:rsidRDefault="00AB3EA5" w:rsidP="00AC3D4C">
            <w:pPr>
              <w:rPr>
                <w:rFonts w:ascii="Helvetica" w:hAnsi="Helvetica"/>
                <w:b/>
                <w:sz w:val="20"/>
                <w:szCs w:val="20"/>
              </w:rPr>
            </w:pPr>
          </w:p>
          <w:p w14:paraId="08A09017" w14:textId="77777777" w:rsidR="00AB3EA5" w:rsidRDefault="00AB3EA5" w:rsidP="00AC3D4C">
            <w:pPr>
              <w:rPr>
                <w:rFonts w:ascii="Helvetica" w:hAnsi="Helvetica"/>
                <w:b/>
                <w:sz w:val="20"/>
                <w:szCs w:val="20"/>
              </w:rPr>
            </w:pPr>
          </w:p>
          <w:p w14:paraId="12C48A5D" w14:textId="77777777" w:rsidR="00AB3EA5" w:rsidRDefault="00AB3EA5" w:rsidP="00AC3D4C">
            <w:pPr>
              <w:rPr>
                <w:rFonts w:ascii="Helvetica" w:hAnsi="Helvetica"/>
                <w:b/>
                <w:sz w:val="20"/>
                <w:szCs w:val="20"/>
              </w:rPr>
            </w:pPr>
          </w:p>
          <w:p w14:paraId="7CDF3325" w14:textId="77777777" w:rsidR="00FD40ED" w:rsidRDefault="00FD40ED" w:rsidP="00AC3D4C">
            <w:pPr>
              <w:rPr>
                <w:rFonts w:ascii="Helvetica" w:hAnsi="Helvetica"/>
                <w:b/>
                <w:sz w:val="20"/>
                <w:szCs w:val="20"/>
              </w:rPr>
            </w:pPr>
          </w:p>
          <w:p w14:paraId="19B9FDF7" w14:textId="77777777" w:rsidR="00FD40ED" w:rsidRDefault="00FD40ED" w:rsidP="00AC3D4C">
            <w:pPr>
              <w:rPr>
                <w:rFonts w:ascii="Helvetica" w:hAnsi="Helvetica"/>
                <w:b/>
                <w:sz w:val="20"/>
                <w:szCs w:val="20"/>
              </w:rPr>
            </w:pPr>
          </w:p>
          <w:p w14:paraId="0F50B963" w14:textId="77777777" w:rsidR="00FD40ED" w:rsidRDefault="00FD40ED" w:rsidP="00AC3D4C">
            <w:pPr>
              <w:rPr>
                <w:rFonts w:ascii="Helvetica" w:hAnsi="Helvetica"/>
                <w:b/>
                <w:sz w:val="20"/>
                <w:szCs w:val="20"/>
              </w:rPr>
            </w:pPr>
          </w:p>
          <w:p w14:paraId="26E4B779" w14:textId="77777777" w:rsidR="00FD40ED" w:rsidRDefault="00FD40ED" w:rsidP="00AC3D4C">
            <w:pPr>
              <w:rPr>
                <w:rFonts w:ascii="Helvetica" w:hAnsi="Helvetica"/>
                <w:b/>
                <w:sz w:val="20"/>
                <w:szCs w:val="20"/>
              </w:rPr>
            </w:pPr>
          </w:p>
          <w:p w14:paraId="2CFF1390" w14:textId="77777777" w:rsidR="00AB3EA5" w:rsidRDefault="00AB3EA5" w:rsidP="00AC3D4C">
            <w:pPr>
              <w:rPr>
                <w:rFonts w:ascii="Helvetica" w:hAnsi="Helvetica"/>
                <w:b/>
                <w:sz w:val="20"/>
                <w:szCs w:val="20"/>
              </w:rPr>
            </w:pPr>
          </w:p>
          <w:p w14:paraId="304F1636" w14:textId="77777777" w:rsidR="00712FD5" w:rsidRDefault="00712FD5" w:rsidP="00AC3D4C">
            <w:pPr>
              <w:rPr>
                <w:rFonts w:ascii="Helvetica" w:hAnsi="Helvetica"/>
                <w:b/>
                <w:sz w:val="20"/>
                <w:szCs w:val="20"/>
              </w:rPr>
            </w:pPr>
            <w:r>
              <w:rPr>
                <w:rFonts w:ascii="Helvetica" w:hAnsi="Helvetica"/>
                <w:b/>
                <w:sz w:val="20"/>
                <w:szCs w:val="20"/>
              </w:rPr>
              <w:t>Ensure a broad and balanced curriculum for all.</w:t>
            </w:r>
          </w:p>
          <w:p w14:paraId="6513D455" w14:textId="77777777" w:rsidR="00712FD5" w:rsidRDefault="00712FD5" w:rsidP="00AC3D4C">
            <w:pPr>
              <w:rPr>
                <w:rFonts w:ascii="Helvetica" w:hAnsi="Helvetica"/>
                <w:sz w:val="20"/>
                <w:szCs w:val="20"/>
              </w:rPr>
            </w:pPr>
          </w:p>
          <w:p w14:paraId="44C59BFE" w14:textId="77777777" w:rsidR="00712FD5" w:rsidRDefault="00712FD5" w:rsidP="00AC3D4C">
            <w:pPr>
              <w:rPr>
                <w:rFonts w:ascii="Helvetica" w:hAnsi="Helvetica"/>
                <w:sz w:val="20"/>
                <w:szCs w:val="20"/>
              </w:rPr>
            </w:pPr>
          </w:p>
          <w:p w14:paraId="6BFE3451" w14:textId="77777777" w:rsidR="00712FD5" w:rsidRDefault="00712FD5" w:rsidP="00AC3D4C">
            <w:pPr>
              <w:rPr>
                <w:rFonts w:ascii="Helvetica" w:hAnsi="Helvetica"/>
                <w:b/>
                <w:sz w:val="20"/>
                <w:szCs w:val="20"/>
              </w:rPr>
            </w:pPr>
          </w:p>
          <w:p w14:paraId="1229E77D" w14:textId="77777777" w:rsidR="00712FD5" w:rsidRDefault="00712FD5" w:rsidP="00AC3D4C">
            <w:pPr>
              <w:rPr>
                <w:rFonts w:ascii="Helvetica" w:hAnsi="Helvetica"/>
                <w:b/>
                <w:sz w:val="20"/>
                <w:szCs w:val="20"/>
              </w:rPr>
            </w:pPr>
          </w:p>
          <w:p w14:paraId="6CA254CA" w14:textId="77777777" w:rsidR="00712FD5" w:rsidRDefault="00712FD5" w:rsidP="00AC3D4C">
            <w:pPr>
              <w:rPr>
                <w:rFonts w:ascii="Helvetica" w:hAnsi="Helvetica"/>
                <w:b/>
                <w:sz w:val="20"/>
                <w:szCs w:val="20"/>
              </w:rPr>
            </w:pPr>
          </w:p>
          <w:p w14:paraId="2A9BB3EF" w14:textId="77777777" w:rsidR="00712FD5" w:rsidRDefault="00712FD5" w:rsidP="00AC3D4C">
            <w:pPr>
              <w:rPr>
                <w:rFonts w:ascii="Helvetica" w:hAnsi="Helvetica"/>
                <w:b/>
                <w:sz w:val="20"/>
                <w:szCs w:val="20"/>
              </w:rPr>
            </w:pPr>
          </w:p>
          <w:p w14:paraId="325296B1" w14:textId="77777777" w:rsidR="00712FD5" w:rsidRDefault="00712FD5" w:rsidP="00AC3D4C">
            <w:pPr>
              <w:rPr>
                <w:rFonts w:ascii="Helvetica" w:hAnsi="Helvetica"/>
                <w:b/>
                <w:sz w:val="20"/>
                <w:szCs w:val="20"/>
              </w:rPr>
            </w:pPr>
          </w:p>
          <w:p w14:paraId="256BC6FD" w14:textId="77777777" w:rsidR="00712FD5" w:rsidRDefault="00712FD5" w:rsidP="00AC3D4C">
            <w:pPr>
              <w:rPr>
                <w:rFonts w:ascii="Helvetica" w:hAnsi="Helvetica"/>
                <w:b/>
                <w:sz w:val="20"/>
                <w:szCs w:val="20"/>
              </w:rPr>
            </w:pPr>
          </w:p>
          <w:p w14:paraId="32BDA4B6" w14:textId="77777777" w:rsidR="00712FD5" w:rsidRDefault="00712FD5" w:rsidP="00AC3D4C">
            <w:pPr>
              <w:rPr>
                <w:rFonts w:ascii="Helvetica" w:hAnsi="Helvetica"/>
                <w:b/>
                <w:sz w:val="20"/>
                <w:szCs w:val="20"/>
              </w:rPr>
            </w:pPr>
          </w:p>
          <w:p w14:paraId="3064BAED" w14:textId="77777777" w:rsidR="00712FD5" w:rsidRDefault="00712FD5" w:rsidP="00AC3D4C">
            <w:pPr>
              <w:rPr>
                <w:rFonts w:ascii="Helvetica" w:hAnsi="Helvetica"/>
                <w:b/>
                <w:sz w:val="20"/>
                <w:szCs w:val="20"/>
              </w:rPr>
            </w:pPr>
          </w:p>
          <w:p w14:paraId="2363E3A7" w14:textId="77777777" w:rsidR="00712FD5" w:rsidRDefault="00712FD5" w:rsidP="00AC3D4C">
            <w:pPr>
              <w:rPr>
                <w:rFonts w:ascii="Helvetica" w:hAnsi="Helvetica"/>
                <w:b/>
                <w:sz w:val="20"/>
                <w:szCs w:val="20"/>
              </w:rPr>
            </w:pPr>
          </w:p>
          <w:p w14:paraId="4A213112" w14:textId="77777777" w:rsidR="00712FD5" w:rsidRDefault="00712FD5" w:rsidP="00AC3D4C">
            <w:pPr>
              <w:rPr>
                <w:rFonts w:ascii="Helvetica" w:hAnsi="Helvetica"/>
                <w:b/>
                <w:sz w:val="20"/>
                <w:szCs w:val="20"/>
              </w:rPr>
            </w:pPr>
          </w:p>
          <w:p w14:paraId="76644A3D" w14:textId="77777777" w:rsidR="00712FD5" w:rsidRDefault="00712FD5" w:rsidP="00AC3D4C">
            <w:pPr>
              <w:rPr>
                <w:rFonts w:ascii="Helvetica" w:hAnsi="Helvetica"/>
                <w:b/>
                <w:sz w:val="20"/>
                <w:szCs w:val="20"/>
              </w:rPr>
            </w:pPr>
          </w:p>
          <w:p w14:paraId="00810A0A" w14:textId="77777777" w:rsidR="00712FD5" w:rsidRDefault="00712FD5" w:rsidP="00AC3D4C">
            <w:pPr>
              <w:rPr>
                <w:rFonts w:ascii="Helvetica" w:hAnsi="Helvetica"/>
                <w:b/>
                <w:sz w:val="20"/>
                <w:szCs w:val="20"/>
              </w:rPr>
            </w:pPr>
          </w:p>
          <w:p w14:paraId="716AC91E" w14:textId="77777777" w:rsidR="00712FD5" w:rsidRDefault="00712FD5" w:rsidP="00AC3D4C">
            <w:pPr>
              <w:rPr>
                <w:rFonts w:ascii="Helvetica" w:hAnsi="Helvetica"/>
                <w:b/>
                <w:sz w:val="20"/>
                <w:szCs w:val="20"/>
              </w:rPr>
            </w:pPr>
          </w:p>
          <w:p w14:paraId="28B2798A" w14:textId="77777777" w:rsidR="00712FD5" w:rsidRDefault="00712FD5" w:rsidP="00AC3D4C">
            <w:pPr>
              <w:rPr>
                <w:rFonts w:ascii="Helvetica" w:hAnsi="Helvetica"/>
                <w:b/>
                <w:sz w:val="20"/>
                <w:szCs w:val="20"/>
              </w:rPr>
            </w:pPr>
          </w:p>
          <w:p w14:paraId="61ED68E4" w14:textId="77777777" w:rsidR="00712FD5" w:rsidRDefault="00712FD5" w:rsidP="00AC3D4C">
            <w:pPr>
              <w:rPr>
                <w:rFonts w:ascii="Helvetica" w:hAnsi="Helvetica"/>
                <w:b/>
                <w:sz w:val="20"/>
                <w:szCs w:val="20"/>
              </w:rPr>
            </w:pPr>
          </w:p>
          <w:p w14:paraId="6BDDD0C9" w14:textId="77777777" w:rsidR="00712FD5" w:rsidRDefault="00712FD5" w:rsidP="00AC3D4C">
            <w:pPr>
              <w:rPr>
                <w:rFonts w:ascii="Helvetica" w:hAnsi="Helvetica"/>
                <w:b/>
                <w:sz w:val="20"/>
                <w:szCs w:val="20"/>
              </w:rPr>
            </w:pPr>
          </w:p>
          <w:p w14:paraId="5BB78D65" w14:textId="77777777" w:rsidR="00712FD5" w:rsidRPr="0024690C" w:rsidRDefault="00712FD5" w:rsidP="00AC3D4C">
            <w:pPr>
              <w:rPr>
                <w:rFonts w:ascii="Helvetica" w:hAnsi="Helvetica"/>
                <w:b/>
                <w:sz w:val="20"/>
                <w:szCs w:val="20"/>
              </w:rPr>
            </w:pPr>
          </w:p>
        </w:tc>
        <w:tc>
          <w:tcPr>
            <w:tcW w:w="2194" w:type="dxa"/>
          </w:tcPr>
          <w:p w14:paraId="2BB8396E" w14:textId="77777777" w:rsidR="00712FD5" w:rsidRDefault="00712FD5" w:rsidP="00AC3D4C">
            <w:pPr>
              <w:ind w:right="34"/>
              <w:rPr>
                <w:rFonts w:ascii="Helvetica" w:hAnsi="Helvetica"/>
                <w:b/>
                <w:sz w:val="20"/>
                <w:szCs w:val="20"/>
              </w:rPr>
            </w:pPr>
          </w:p>
          <w:p w14:paraId="557FED5A" w14:textId="77777777" w:rsidR="00712FD5" w:rsidRPr="0049307D" w:rsidRDefault="00712FD5" w:rsidP="00AC3D4C">
            <w:pPr>
              <w:ind w:right="34"/>
              <w:rPr>
                <w:rFonts w:ascii="Helvetica" w:hAnsi="Helvetica"/>
                <w:b/>
                <w:sz w:val="20"/>
                <w:szCs w:val="20"/>
              </w:rPr>
            </w:pPr>
            <w:r w:rsidRPr="0049307D">
              <w:rPr>
                <w:rFonts w:ascii="Helvetica" w:hAnsi="Helvetica"/>
                <w:b/>
                <w:sz w:val="20"/>
                <w:szCs w:val="20"/>
              </w:rPr>
              <w:t>Introduction of the Magic 3</w:t>
            </w:r>
          </w:p>
          <w:p w14:paraId="27C17EF9" w14:textId="77777777" w:rsidR="00712FD5" w:rsidRDefault="00712FD5" w:rsidP="00AC3D4C">
            <w:pPr>
              <w:ind w:right="34"/>
              <w:rPr>
                <w:rFonts w:ascii="Helvetica" w:hAnsi="Helvetica"/>
                <w:sz w:val="20"/>
                <w:szCs w:val="20"/>
              </w:rPr>
            </w:pPr>
          </w:p>
          <w:p w14:paraId="4530D1CD" w14:textId="77777777" w:rsidR="00712FD5" w:rsidRDefault="00712FD5" w:rsidP="00AC3D4C">
            <w:pPr>
              <w:rPr>
                <w:rFonts w:ascii="Helvetica" w:hAnsi="Helvetica"/>
                <w:sz w:val="20"/>
                <w:szCs w:val="20"/>
              </w:rPr>
            </w:pPr>
            <w:r w:rsidRPr="0049307D">
              <w:rPr>
                <w:rFonts w:ascii="Helvetica" w:hAnsi="Helvetica"/>
                <w:sz w:val="20"/>
                <w:szCs w:val="20"/>
              </w:rPr>
              <w:t xml:space="preserve">Improve levels of literacy </w:t>
            </w:r>
            <w:r>
              <w:rPr>
                <w:rFonts w:ascii="Helvetica" w:hAnsi="Helvetica"/>
                <w:sz w:val="20"/>
                <w:szCs w:val="20"/>
              </w:rPr>
              <w:t>for disadvantaged students by using the in-house literacy ‘</w:t>
            </w:r>
            <w:proofErr w:type="spellStart"/>
            <w:r>
              <w:rPr>
                <w:rFonts w:ascii="Helvetica" w:hAnsi="Helvetica"/>
                <w:sz w:val="20"/>
                <w:szCs w:val="20"/>
              </w:rPr>
              <w:t>i</w:t>
            </w:r>
            <w:proofErr w:type="spellEnd"/>
            <w:r>
              <w:rPr>
                <w:rFonts w:ascii="Helvetica" w:hAnsi="Helvetica"/>
                <w:sz w:val="20"/>
                <w:szCs w:val="20"/>
              </w:rPr>
              <w:t>’ strategies.</w:t>
            </w:r>
          </w:p>
          <w:p w14:paraId="7CED79EA" w14:textId="77777777" w:rsidR="00712FD5" w:rsidRDefault="00712FD5" w:rsidP="00AC3D4C">
            <w:pPr>
              <w:rPr>
                <w:rFonts w:ascii="Helvetica" w:hAnsi="Helvetica"/>
                <w:sz w:val="20"/>
                <w:szCs w:val="20"/>
              </w:rPr>
            </w:pPr>
          </w:p>
          <w:p w14:paraId="3D6AFB0C" w14:textId="77777777" w:rsidR="00712FD5" w:rsidRDefault="00712FD5" w:rsidP="00AC3D4C">
            <w:pPr>
              <w:rPr>
                <w:rFonts w:ascii="Helvetica" w:hAnsi="Helvetica"/>
                <w:sz w:val="20"/>
                <w:szCs w:val="20"/>
              </w:rPr>
            </w:pPr>
            <w:r>
              <w:rPr>
                <w:rFonts w:ascii="Helvetica" w:hAnsi="Helvetica"/>
                <w:sz w:val="20"/>
                <w:szCs w:val="20"/>
              </w:rPr>
              <w:t>Effective use of assessment in lessons to improve outcomes.</w:t>
            </w:r>
          </w:p>
          <w:p w14:paraId="4C2DCAB5" w14:textId="77777777" w:rsidR="00712FD5" w:rsidRDefault="00712FD5" w:rsidP="00AC3D4C">
            <w:pPr>
              <w:rPr>
                <w:rFonts w:ascii="Helvetica" w:hAnsi="Helvetica"/>
                <w:sz w:val="20"/>
                <w:szCs w:val="20"/>
              </w:rPr>
            </w:pPr>
          </w:p>
          <w:p w14:paraId="13C6694F" w14:textId="77777777" w:rsidR="00712FD5" w:rsidRPr="0049307D" w:rsidRDefault="00712FD5" w:rsidP="00AC3D4C">
            <w:pPr>
              <w:rPr>
                <w:rFonts w:ascii="Helvetica" w:hAnsi="Helvetica"/>
                <w:sz w:val="20"/>
                <w:szCs w:val="20"/>
              </w:rPr>
            </w:pPr>
            <w:r>
              <w:rPr>
                <w:rFonts w:ascii="Helvetica" w:hAnsi="Helvetica"/>
                <w:sz w:val="20"/>
                <w:szCs w:val="20"/>
              </w:rPr>
              <w:t>Introduction of the Shine strategy to provide challenge and improve outcomes for the more able students.</w:t>
            </w:r>
          </w:p>
          <w:p w14:paraId="3DC2B039" w14:textId="77777777" w:rsidR="00712FD5" w:rsidRDefault="00712FD5" w:rsidP="00AC3D4C">
            <w:pPr>
              <w:ind w:right="34"/>
              <w:rPr>
                <w:rFonts w:ascii="Helvetica" w:hAnsi="Helvetica"/>
                <w:sz w:val="20"/>
                <w:szCs w:val="20"/>
              </w:rPr>
            </w:pPr>
          </w:p>
          <w:p w14:paraId="70EF6135" w14:textId="77777777" w:rsidR="00712FD5" w:rsidRPr="0024690C" w:rsidRDefault="00712FD5" w:rsidP="00AC3D4C">
            <w:pPr>
              <w:ind w:right="34"/>
              <w:rPr>
                <w:rFonts w:ascii="Helvetica" w:hAnsi="Helvetica"/>
                <w:sz w:val="20"/>
                <w:szCs w:val="20"/>
              </w:rPr>
            </w:pPr>
          </w:p>
        </w:tc>
        <w:tc>
          <w:tcPr>
            <w:tcW w:w="6554" w:type="dxa"/>
          </w:tcPr>
          <w:p w14:paraId="2A711AAD" w14:textId="77777777" w:rsidR="00712FD5" w:rsidRDefault="00712FD5" w:rsidP="00AC3D4C">
            <w:pPr>
              <w:ind w:right="-62"/>
              <w:rPr>
                <w:rFonts w:ascii="Helvetica" w:hAnsi="Helvetica"/>
                <w:sz w:val="20"/>
                <w:szCs w:val="20"/>
              </w:rPr>
            </w:pPr>
          </w:p>
          <w:p w14:paraId="50193264" w14:textId="77777777" w:rsidR="00712FD5" w:rsidRDefault="00712FD5" w:rsidP="00AC3D4C">
            <w:pPr>
              <w:ind w:right="-62"/>
              <w:rPr>
                <w:rFonts w:ascii="Helvetica" w:hAnsi="Helvetica"/>
                <w:sz w:val="20"/>
                <w:szCs w:val="20"/>
              </w:rPr>
            </w:pPr>
            <w:r>
              <w:rPr>
                <w:rFonts w:ascii="Helvetica" w:hAnsi="Helvetica"/>
                <w:sz w:val="20"/>
                <w:szCs w:val="20"/>
              </w:rPr>
              <w:t>Reading ages for pupil premium students closed the gap between their reading age and their actual age:</w:t>
            </w:r>
          </w:p>
          <w:p w14:paraId="71AF1478" w14:textId="77777777" w:rsidR="00712FD5" w:rsidRDefault="00712FD5" w:rsidP="00AC3D4C">
            <w:pPr>
              <w:ind w:right="-62"/>
              <w:rPr>
                <w:rFonts w:ascii="Helvetica" w:hAnsi="Helvetica"/>
                <w:sz w:val="20"/>
                <w:szCs w:val="20"/>
              </w:rPr>
            </w:pPr>
            <w:r>
              <w:rPr>
                <w:rFonts w:ascii="Helvetica" w:hAnsi="Helvetica"/>
                <w:sz w:val="20"/>
                <w:szCs w:val="20"/>
              </w:rPr>
              <w:t>Year 7 – 39% of students closed the gap</w:t>
            </w:r>
          </w:p>
          <w:p w14:paraId="64B1403E" w14:textId="77777777" w:rsidR="00712FD5" w:rsidRDefault="00712FD5" w:rsidP="00AC3D4C">
            <w:pPr>
              <w:ind w:right="-62"/>
              <w:rPr>
                <w:rFonts w:ascii="Helvetica" w:hAnsi="Helvetica"/>
                <w:sz w:val="20"/>
                <w:szCs w:val="20"/>
              </w:rPr>
            </w:pPr>
            <w:r>
              <w:rPr>
                <w:rFonts w:ascii="Helvetica" w:hAnsi="Helvetica"/>
                <w:sz w:val="20"/>
                <w:szCs w:val="20"/>
              </w:rPr>
              <w:t>Year 8 – 14%</w:t>
            </w:r>
          </w:p>
          <w:p w14:paraId="7EFA8614" w14:textId="77777777" w:rsidR="00712FD5" w:rsidRDefault="00712FD5" w:rsidP="00AC3D4C">
            <w:pPr>
              <w:ind w:right="-62"/>
              <w:rPr>
                <w:rFonts w:ascii="Helvetica" w:hAnsi="Helvetica"/>
                <w:sz w:val="20"/>
                <w:szCs w:val="20"/>
              </w:rPr>
            </w:pPr>
            <w:r>
              <w:rPr>
                <w:rFonts w:ascii="Helvetica" w:hAnsi="Helvetica"/>
                <w:sz w:val="20"/>
                <w:szCs w:val="20"/>
              </w:rPr>
              <w:t>Year 9 – 23%</w:t>
            </w:r>
          </w:p>
          <w:p w14:paraId="6BF69B42" w14:textId="77777777" w:rsidR="00712FD5" w:rsidRDefault="00712FD5" w:rsidP="00AC3D4C">
            <w:pPr>
              <w:ind w:right="-62"/>
              <w:rPr>
                <w:rFonts w:ascii="Helvetica" w:hAnsi="Helvetica"/>
                <w:sz w:val="20"/>
                <w:szCs w:val="20"/>
              </w:rPr>
            </w:pPr>
            <w:r>
              <w:rPr>
                <w:rFonts w:ascii="Helvetica" w:hAnsi="Helvetica"/>
                <w:sz w:val="20"/>
                <w:szCs w:val="20"/>
              </w:rPr>
              <w:t>Year 10 – 15%</w:t>
            </w:r>
          </w:p>
          <w:p w14:paraId="6EAF25B0" w14:textId="77777777" w:rsidR="00712FD5" w:rsidRDefault="00712FD5" w:rsidP="00AC3D4C">
            <w:pPr>
              <w:ind w:right="-62"/>
              <w:rPr>
                <w:rFonts w:ascii="Helvetica" w:hAnsi="Helvetica"/>
                <w:sz w:val="20"/>
                <w:szCs w:val="20"/>
              </w:rPr>
            </w:pPr>
          </w:p>
          <w:p w14:paraId="5045D4BC" w14:textId="77777777" w:rsidR="00712FD5" w:rsidRDefault="00712FD5" w:rsidP="00AC3D4C">
            <w:pPr>
              <w:ind w:right="-62"/>
              <w:rPr>
                <w:rFonts w:ascii="Helvetica" w:hAnsi="Helvetica"/>
                <w:sz w:val="20"/>
                <w:szCs w:val="20"/>
              </w:rPr>
            </w:pPr>
            <w:r>
              <w:rPr>
                <w:rFonts w:ascii="Helvetica" w:hAnsi="Helvetica"/>
                <w:sz w:val="20"/>
                <w:szCs w:val="20"/>
              </w:rPr>
              <w:t xml:space="preserve">Use of </w:t>
            </w:r>
            <w:proofErr w:type="spellStart"/>
            <w:r>
              <w:rPr>
                <w:rFonts w:ascii="Helvetica" w:hAnsi="Helvetica"/>
                <w:sz w:val="20"/>
                <w:szCs w:val="20"/>
              </w:rPr>
              <w:t>iSpell</w:t>
            </w:r>
            <w:proofErr w:type="spellEnd"/>
            <w:r>
              <w:rPr>
                <w:rFonts w:ascii="Helvetica" w:hAnsi="Helvetica"/>
                <w:sz w:val="20"/>
                <w:szCs w:val="20"/>
              </w:rPr>
              <w:t xml:space="preserve"> ensured students spelling of common homophones and connectives are improving across the curriculum:</w:t>
            </w:r>
          </w:p>
          <w:p w14:paraId="21FF1D9F" w14:textId="77777777" w:rsidR="00712FD5" w:rsidRDefault="00712FD5" w:rsidP="00AC3D4C">
            <w:pPr>
              <w:ind w:right="-62"/>
              <w:rPr>
                <w:rFonts w:ascii="Helvetica" w:hAnsi="Helvetica"/>
                <w:sz w:val="20"/>
                <w:szCs w:val="20"/>
              </w:rPr>
            </w:pPr>
            <w:r>
              <w:rPr>
                <w:rFonts w:ascii="Helvetica" w:hAnsi="Helvetica"/>
                <w:sz w:val="20"/>
                <w:szCs w:val="20"/>
              </w:rPr>
              <w:t>Year 7 – 83% and 77% improvement</w:t>
            </w:r>
          </w:p>
          <w:p w14:paraId="532010C3" w14:textId="77777777" w:rsidR="00712FD5" w:rsidRDefault="00712FD5" w:rsidP="00AC3D4C">
            <w:pPr>
              <w:ind w:right="-62"/>
              <w:rPr>
                <w:rFonts w:ascii="Helvetica" w:hAnsi="Helvetica"/>
                <w:sz w:val="20"/>
                <w:szCs w:val="20"/>
              </w:rPr>
            </w:pPr>
            <w:r>
              <w:rPr>
                <w:rFonts w:ascii="Helvetica" w:hAnsi="Helvetica"/>
                <w:sz w:val="20"/>
                <w:szCs w:val="20"/>
              </w:rPr>
              <w:t>Year 8 – 71% and 72% improvement</w:t>
            </w:r>
          </w:p>
          <w:p w14:paraId="102FE4EE" w14:textId="77777777" w:rsidR="00712FD5" w:rsidRDefault="00712FD5" w:rsidP="00AC3D4C">
            <w:pPr>
              <w:ind w:right="-62"/>
              <w:rPr>
                <w:rFonts w:ascii="Helvetica" w:hAnsi="Helvetica"/>
                <w:sz w:val="20"/>
                <w:szCs w:val="20"/>
              </w:rPr>
            </w:pPr>
            <w:r>
              <w:rPr>
                <w:rFonts w:ascii="Helvetica" w:hAnsi="Helvetica"/>
                <w:sz w:val="20"/>
                <w:szCs w:val="20"/>
              </w:rPr>
              <w:t>Year 9 – 85% improvement (both sets of words)</w:t>
            </w:r>
          </w:p>
          <w:p w14:paraId="186E3B01" w14:textId="77777777" w:rsidR="00712FD5" w:rsidRDefault="00712FD5" w:rsidP="00AC3D4C">
            <w:pPr>
              <w:ind w:right="-62"/>
              <w:rPr>
                <w:rFonts w:ascii="Helvetica" w:hAnsi="Helvetica"/>
                <w:sz w:val="20"/>
                <w:szCs w:val="20"/>
              </w:rPr>
            </w:pPr>
            <w:r>
              <w:rPr>
                <w:rFonts w:ascii="Helvetica" w:hAnsi="Helvetica"/>
                <w:sz w:val="20"/>
                <w:szCs w:val="20"/>
              </w:rPr>
              <w:t>Year 10 – 74% and 77% improvement</w:t>
            </w:r>
          </w:p>
          <w:p w14:paraId="57DA6636" w14:textId="77777777" w:rsidR="00712FD5" w:rsidRDefault="00712FD5" w:rsidP="00AC3D4C">
            <w:pPr>
              <w:ind w:right="-62"/>
              <w:rPr>
                <w:rFonts w:ascii="Helvetica" w:hAnsi="Helvetica"/>
                <w:sz w:val="20"/>
                <w:szCs w:val="20"/>
              </w:rPr>
            </w:pPr>
            <w:r>
              <w:rPr>
                <w:rFonts w:ascii="Helvetica" w:hAnsi="Helvetica"/>
                <w:sz w:val="20"/>
                <w:szCs w:val="20"/>
              </w:rPr>
              <w:t>Year 11 – 75% and 96% improvement</w:t>
            </w:r>
          </w:p>
          <w:p w14:paraId="708FFF14" w14:textId="77777777" w:rsidR="00712FD5" w:rsidRDefault="00712FD5" w:rsidP="00AC3D4C">
            <w:pPr>
              <w:ind w:right="-62"/>
              <w:rPr>
                <w:rFonts w:ascii="Helvetica" w:hAnsi="Helvetica"/>
                <w:sz w:val="20"/>
                <w:szCs w:val="20"/>
              </w:rPr>
            </w:pPr>
          </w:p>
          <w:p w14:paraId="5F399DD2" w14:textId="77777777" w:rsidR="00712FD5" w:rsidRDefault="00712FD5" w:rsidP="00AC3D4C">
            <w:pPr>
              <w:ind w:right="-62"/>
              <w:rPr>
                <w:rFonts w:ascii="Helvetica" w:hAnsi="Helvetica"/>
                <w:sz w:val="20"/>
                <w:szCs w:val="20"/>
              </w:rPr>
            </w:pPr>
            <w:r>
              <w:rPr>
                <w:rFonts w:ascii="Helvetica" w:hAnsi="Helvetica"/>
                <w:sz w:val="20"/>
                <w:szCs w:val="20"/>
              </w:rPr>
              <w:t>Longer writing responses improved again for PP students gaining more marks for these questions in English, History, Geography and French.</w:t>
            </w:r>
          </w:p>
          <w:p w14:paraId="40686F5C" w14:textId="77777777" w:rsidR="00712FD5" w:rsidRDefault="00712FD5" w:rsidP="00AC3D4C">
            <w:pPr>
              <w:ind w:right="-62"/>
              <w:rPr>
                <w:rFonts w:ascii="Helvetica" w:hAnsi="Helvetica"/>
                <w:sz w:val="20"/>
                <w:szCs w:val="20"/>
              </w:rPr>
            </w:pPr>
          </w:p>
          <w:p w14:paraId="0184EFBF" w14:textId="77777777" w:rsidR="00712FD5" w:rsidRDefault="00712FD5" w:rsidP="00AC3D4C">
            <w:pPr>
              <w:ind w:right="-62"/>
              <w:rPr>
                <w:rFonts w:ascii="Helvetica" w:hAnsi="Helvetica"/>
                <w:sz w:val="20"/>
                <w:szCs w:val="20"/>
              </w:rPr>
            </w:pPr>
            <w:r>
              <w:rPr>
                <w:rFonts w:ascii="Helvetica" w:hAnsi="Helvetica"/>
                <w:sz w:val="20"/>
                <w:szCs w:val="20"/>
              </w:rPr>
              <w:t>Library use has increased with an increase in loans of 1307 for PP students.</w:t>
            </w:r>
          </w:p>
          <w:p w14:paraId="63EE2543" w14:textId="77777777" w:rsidR="00712FD5" w:rsidRDefault="00712FD5" w:rsidP="00AC3D4C">
            <w:pPr>
              <w:ind w:right="-62"/>
              <w:rPr>
                <w:rFonts w:ascii="Helvetica" w:hAnsi="Helvetica"/>
                <w:sz w:val="20"/>
                <w:szCs w:val="20"/>
              </w:rPr>
            </w:pPr>
          </w:p>
          <w:p w14:paraId="421861FE" w14:textId="77777777" w:rsidR="00712FD5" w:rsidRDefault="00712FD5" w:rsidP="00AC3D4C">
            <w:pPr>
              <w:ind w:right="-62"/>
              <w:rPr>
                <w:rFonts w:ascii="Arial" w:hAnsi="Arial" w:cs="Arial"/>
                <w:sz w:val="20"/>
                <w:szCs w:val="20"/>
              </w:rPr>
            </w:pPr>
            <w:r>
              <w:rPr>
                <w:rFonts w:ascii="Helvetica" w:hAnsi="Helvetica"/>
                <w:sz w:val="20"/>
                <w:szCs w:val="20"/>
              </w:rPr>
              <w:t xml:space="preserve">PP Shine – Progress of PP students improved however </w:t>
            </w:r>
            <w:r w:rsidRPr="00902AAF">
              <w:rPr>
                <w:rFonts w:ascii="Arial" w:hAnsi="Arial" w:cs="Arial"/>
                <w:sz w:val="20"/>
                <w:szCs w:val="20"/>
              </w:rPr>
              <w:t>Shine</w:t>
            </w:r>
            <w:r>
              <w:rPr>
                <w:rFonts w:ascii="Arial" w:hAnsi="Arial" w:cs="Arial"/>
                <w:sz w:val="20"/>
                <w:szCs w:val="20"/>
              </w:rPr>
              <w:t xml:space="preserve"> PP</w:t>
            </w:r>
            <w:r w:rsidRPr="00902AAF">
              <w:rPr>
                <w:rFonts w:ascii="Arial" w:hAnsi="Arial" w:cs="Arial"/>
                <w:sz w:val="20"/>
                <w:szCs w:val="20"/>
              </w:rPr>
              <w:t xml:space="preserve"> students </w:t>
            </w:r>
            <w:r>
              <w:rPr>
                <w:rFonts w:ascii="Arial" w:hAnsi="Arial" w:cs="Arial"/>
                <w:sz w:val="20"/>
                <w:szCs w:val="20"/>
              </w:rPr>
              <w:t>are not making enough progress in P8:  PPI Shine = -0.83 and PPI Non-Shine = 0.24.</w:t>
            </w:r>
          </w:p>
          <w:p w14:paraId="78CC9A23" w14:textId="77777777" w:rsidR="00FD40ED" w:rsidRDefault="00FD40ED" w:rsidP="00AC3D4C">
            <w:pPr>
              <w:ind w:right="-62"/>
              <w:rPr>
                <w:rFonts w:ascii="Arial" w:hAnsi="Arial" w:cs="Arial"/>
                <w:sz w:val="20"/>
                <w:szCs w:val="20"/>
              </w:rPr>
            </w:pPr>
          </w:p>
          <w:p w14:paraId="5C421A5D" w14:textId="77777777" w:rsidR="00FD40ED" w:rsidRDefault="00FD40ED" w:rsidP="00AC3D4C">
            <w:pPr>
              <w:ind w:right="-62"/>
              <w:rPr>
                <w:rFonts w:ascii="Arial" w:hAnsi="Arial" w:cs="Arial"/>
                <w:sz w:val="20"/>
                <w:szCs w:val="20"/>
              </w:rPr>
            </w:pPr>
          </w:p>
          <w:p w14:paraId="6EFA401E" w14:textId="77777777" w:rsidR="00FD40ED" w:rsidRDefault="00FD40ED" w:rsidP="00AC3D4C">
            <w:pPr>
              <w:ind w:right="-62"/>
              <w:rPr>
                <w:rFonts w:ascii="Arial" w:hAnsi="Arial" w:cs="Arial"/>
                <w:sz w:val="20"/>
                <w:szCs w:val="20"/>
              </w:rPr>
            </w:pPr>
          </w:p>
          <w:p w14:paraId="117AB30A" w14:textId="77777777" w:rsidR="00FD40ED" w:rsidRDefault="00FD40ED" w:rsidP="00AC3D4C">
            <w:pPr>
              <w:ind w:right="-62"/>
              <w:rPr>
                <w:rFonts w:ascii="Arial" w:hAnsi="Arial" w:cs="Arial"/>
                <w:sz w:val="20"/>
                <w:szCs w:val="20"/>
              </w:rPr>
            </w:pPr>
          </w:p>
          <w:p w14:paraId="2B334F17" w14:textId="77777777" w:rsidR="00FD40ED" w:rsidRDefault="00FD40ED" w:rsidP="00AC3D4C">
            <w:pPr>
              <w:ind w:right="-62"/>
              <w:rPr>
                <w:rFonts w:ascii="Arial" w:hAnsi="Arial" w:cs="Arial"/>
                <w:sz w:val="20"/>
                <w:szCs w:val="20"/>
              </w:rPr>
            </w:pPr>
          </w:p>
          <w:p w14:paraId="6A6DF1A1" w14:textId="77777777" w:rsidR="00FD40ED" w:rsidRDefault="00FD40ED" w:rsidP="00AC3D4C">
            <w:pPr>
              <w:ind w:right="-62"/>
              <w:rPr>
                <w:rFonts w:ascii="Arial" w:hAnsi="Arial" w:cs="Arial"/>
                <w:sz w:val="20"/>
                <w:szCs w:val="20"/>
              </w:rPr>
            </w:pPr>
          </w:p>
          <w:p w14:paraId="16DBAA3F" w14:textId="77777777" w:rsidR="00FD40ED" w:rsidRDefault="00FD40ED" w:rsidP="00AC3D4C">
            <w:pPr>
              <w:ind w:right="-62"/>
              <w:rPr>
                <w:rFonts w:ascii="Arial" w:hAnsi="Arial" w:cs="Arial"/>
                <w:sz w:val="20"/>
                <w:szCs w:val="20"/>
              </w:rPr>
            </w:pPr>
          </w:p>
          <w:p w14:paraId="041EF6ED" w14:textId="77777777" w:rsidR="00FD40ED" w:rsidRDefault="00FD40ED" w:rsidP="00AC3D4C">
            <w:pPr>
              <w:ind w:right="-62"/>
              <w:rPr>
                <w:rFonts w:ascii="Arial" w:hAnsi="Arial" w:cs="Arial"/>
                <w:sz w:val="20"/>
                <w:szCs w:val="20"/>
              </w:rPr>
            </w:pPr>
          </w:p>
          <w:p w14:paraId="32F392E1" w14:textId="77777777" w:rsidR="00FD40ED" w:rsidRDefault="00FD40ED" w:rsidP="00AC3D4C">
            <w:pPr>
              <w:ind w:right="-62"/>
              <w:rPr>
                <w:rFonts w:ascii="Arial" w:hAnsi="Arial" w:cs="Arial"/>
                <w:sz w:val="20"/>
                <w:szCs w:val="20"/>
              </w:rPr>
            </w:pPr>
          </w:p>
          <w:p w14:paraId="45567EBB" w14:textId="77777777" w:rsidR="00FD40ED" w:rsidRDefault="00FD40ED" w:rsidP="00AC3D4C">
            <w:pPr>
              <w:ind w:right="-62"/>
              <w:rPr>
                <w:rFonts w:ascii="Arial" w:hAnsi="Arial" w:cs="Arial"/>
                <w:sz w:val="20"/>
                <w:szCs w:val="20"/>
              </w:rPr>
            </w:pPr>
          </w:p>
          <w:p w14:paraId="2248A03B" w14:textId="77777777" w:rsidR="00FD40ED" w:rsidRDefault="00FD40ED" w:rsidP="00AC3D4C">
            <w:pPr>
              <w:ind w:right="-62"/>
              <w:rPr>
                <w:rFonts w:ascii="Arial" w:hAnsi="Arial" w:cs="Arial"/>
                <w:sz w:val="20"/>
                <w:szCs w:val="20"/>
              </w:rPr>
            </w:pPr>
          </w:p>
          <w:p w14:paraId="25374ED0" w14:textId="77777777" w:rsidR="00FD40ED" w:rsidRDefault="00FD40ED" w:rsidP="00FD40ED">
            <w:pPr>
              <w:rPr>
                <w:rFonts w:ascii="Helvetica" w:hAnsi="Helvetica"/>
                <w:sz w:val="20"/>
                <w:szCs w:val="20"/>
              </w:rPr>
            </w:pPr>
            <w:r>
              <w:rPr>
                <w:rFonts w:ascii="Helvetica" w:hAnsi="Helvetica"/>
                <w:sz w:val="20"/>
                <w:szCs w:val="20"/>
                <w:u w:val="single"/>
              </w:rPr>
              <w:t>PP (non PP) Attendance 2016/17</w:t>
            </w:r>
          </w:p>
          <w:p w14:paraId="55D75196" w14:textId="77777777" w:rsidR="00FD40ED" w:rsidRDefault="00FD40ED" w:rsidP="00FD40ED">
            <w:pPr>
              <w:rPr>
                <w:rFonts w:ascii="Helvetica" w:hAnsi="Helvetica"/>
                <w:sz w:val="20"/>
                <w:szCs w:val="20"/>
              </w:rPr>
            </w:pPr>
            <w:r>
              <w:rPr>
                <w:rFonts w:ascii="Helvetica" w:hAnsi="Helvetica"/>
                <w:sz w:val="20"/>
                <w:szCs w:val="20"/>
              </w:rPr>
              <w:t>Overall – 92.67% (96.28%)</w:t>
            </w:r>
          </w:p>
          <w:p w14:paraId="4061C108" w14:textId="77777777" w:rsidR="00FD40ED" w:rsidRDefault="00FD40ED" w:rsidP="00FD40ED">
            <w:pPr>
              <w:rPr>
                <w:rFonts w:ascii="Helvetica" w:hAnsi="Helvetica"/>
                <w:sz w:val="20"/>
                <w:szCs w:val="20"/>
              </w:rPr>
            </w:pPr>
            <w:r>
              <w:rPr>
                <w:rFonts w:ascii="Helvetica" w:hAnsi="Helvetica"/>
                <w:sz w:val="20"/>
                <w:szCs w:val="20"/>
              </w:rPr>
              <w:t>Year 7 - 96.07% (97.5%)</w:t>
            </w:r>
          </w:p>
          <w:p w14:paraId="01372C12" w14:textId="77777777" w:rsidR="00FD40ED" w:rsidRDefault="00FD40ED" w:rsidP="00FD40ED">
            <w:pPr>
              <w:rPr>
                <w:rFonts w:ascii="Helvetica" w:hAnsi="Helvetica"/>
                <w:sz w:val="20"/>
                <w:szCs w:val="20"/>
              </w:rPr>
            </w:pPr>
            <w:r>
              <w:rPr>
                <w:rFonts w:ascii="Helvetica" w:hAnsi="Helvetica"/>
                <w:sz w:val="20"/>
                <w:szCs w:val="20"/>
              </w:rPr>
              <w:t>Year 8 – 94.75% (97.37%)</w:t>
            </w:r>
          </w:p>
          <w:p w14:paraId="3CA2720D" w14:textId="77777777" w:rsidR="00FD40ED" w:rsidRDefault="00FD40ED" w:rsidP="00FD40ED">
            <w:pPr>
              <w:rPr>
                <w:rFonts w:ascii="Helvetica" w:hAnsi="Helvetica"/>
                <w:sz w:val="20"/>
                <w:szCs w:val="20"/>
              </w:rPr>
            </w:pPr>
            <w:r>
              <w:rPr>
                <w:rFonts w:ascii="Helvetica" w:hAnsi="Helvetica"/>
                <w:sz w:val="20"/>
                <w:szCs w:val="20"/>
              </w:rPr>
              <w:t>Year 9 – 90.40% (95.79%)</w:t>
            </w:r>
          </w:p>
          <w:p w14:paraId="3EFE2973" w14:textId="77777777" w:rsidR="00FD40ED" w:rsidRDefault="00FD40ED" w:rsidP="00FD40ED">
            <w:pPr>
              <w:rPr>
                <w:rFonts w:ascii="Helvetica" w:hAnsi="Helvetica"/>
                <w:sz w:val="20"/>
                <w:szCs w:val="20"/>
              </w:rPr>
            </w:pPr>
            <w:r>
              <w:rPr>
                <w:rFonts w:ascii="Helvetica" w:hAnsi="Helvetica"/>
                <w:sz w:val="20"/>
                <w:szCs w:val="20"/>
              </w:rPr>
              <w:t>Year 10 – 89.05% (89.05%)</w:t>
            </w:r>
          </w:p>
          <w:p w14:paraId="37890615" w14:textId="77777777" w:rsidR="00FD40ED" w:rsidRDefault="00FD40ED" w:rsidP="00FD40ED">
            <w:pPr>
              <w:ind w:right="-643"/>
              <w:rPr>
                <w:rFonts w:ascii="Helvetica" w:hAnsi="Helvetica"/>
                <w:sz w:val="20"/>
                <w:szCs w:val="20"/>
              </w:rPr>
            </w:pPr>
            <w:r>
              <w:rPr>
                <w:rFonts w:ascii="Helvetica" w:hAnsi="Helvetica"/>
                <w:sz w:val="20"/>
                <w:szCs w:val="20"/>
              </w:rPr>
              <w:t>Year 11 – 92.03% (95.42%)</w:t>
            </w:r>
          </w:p>
          <w:p w14:paraId="5737B82C" w14:textId="77777777" w:rsidR="00FD40ED" w:rsidRPr="00902AAF" w:rsidRDefault="00FD40ED" w:rsidP="00AC3D4C">
            <w:pPr>
              <w:ind w:right="-62"/>
              <w:rPr>
                <w:rFonts w:ascii="Arial" w:hAnsi="Arial" w:cs="Arial"/>
                <w:sz w:val="20"/>
                <w:szCs w:val="20"/>
              </w:rPr>
            </w:pPr>
          </w:p>
          <w:p w14:paraId="3C742CBC" w14:textId="77777777" w:rsidR="00712FD5" w:rsidRDefault="00712FD5" w:rsidP="00AC3D4C">
            <w:pPr>
              <w:ind w:right="-62"/>
              <w:rPr>
                <w:rFonts w:ascii="Helvetica" w:hAnsi="Helvetica"/>
                <w:sz w:val="20"/>
                <w:szCs w:val="20"/>
              </w:rPr>
            </w:pPr>
          </w:p>
          <w:p w14:paraId="4FE4EB82" w14:textId="77777777" w:rsidR="00712FD5" w:rsidRDefault="00712FD5" w:rsidP="00AC3D4C">
            <w:pPr>
              <w:ind w:right="-62"/>
              <w:rPr>
                <w:rFonts w:ascii="Helvetica" w:hAnsi="Helvetica"/>
                <w:sz w:val="20"/>
                <w:szCs w:val="20"/>
              </w:rPr>
            </w:pPr>
          </w:p>
          <w:p w14:paraId="1C2BB172" w14:textId="77777777" w:rsidR="00712FD5" w:rsidRDefault="00712FD5" w:rsidP="00AC3D4C">
            <w:pPr>
              <w:ind w:left="-567" w:right="-62"/>
              <w:rPr>
                <w:rFonts w:ascii="Helvetica" w:hAnsi="Helvetica"/>
                <w:sz w:val="20"/>
                <w:szCs w:val="20"/>
              </w:rPr>
            </w:pPr>
          </w:p>
          <w:p w14:paraId="5E1F4A9C" w14:textId="77777777" w:rsidR="00AB3EA5" w:rsidRDefault="00AB3EA5" w:rsidP="00AC3D4C">
            <w:pPr>
              <w:ind w:left="-567" w:right="-62"/>
              <w:rPr>
                <w:rFonts w:ascii="Helvetica" w:hAnsi="Helvetica"/>
                <w:sz w:val="20"/>
                <w:szCs w:val="20"/>
              </w:rPr>
            </w:pPr>
          </w:p>
          <w:p w14:paraId="717E23ED" w14:textId="77777777" w:rsidR="00AB3EA5" w:rsidRDefault="00AB3EA5" w:rsidP="00AC3D4C">
            <w:pPr>
              <w:ind w:left="-567" w:right="-62"/>
              <w:rPr>
                <w:rFonts w:ascii="Helvetica" w:hAnsi="Helvetica"/>
                <w:sz w:val="20"/>
                <w:szCs w:val="20"/>
              </w:rPr>
            </w:pPr>
          </w:p>
          <w:p w14:paraId="0F353276" w14:textId="77777777" w:rsidR="00AB3EA5" w:rsidRDefault="00AB3EA5" w:rsidP="00AC3D4C">
            <w:pPr>
              <w:ind w:left="-567" w:right="-62"/>
              <w:rPr>
                <w:rFonts w:ascii="Helvetica" w:hAnsi="Helvetica"/>
                <w:sz w:val="20"/>
                <w:szCs w:val="20"/>
              </w:rPr>
            </w:pPr>
          </w:p>
          <w:p w14:paraId="06DD99FC" w14:textId="77777777" w:rsidR="00AB3EA5" w:rsidRDefault="00AB3EA5" w:rsidP="00AC3D4C">
            <w:pPr>
              <w:ind w:left="-567" w:right="-62"/>
              <w:rPr>
                <w:rFonts w:ascii="Helvetica" w:hAnsi="Helvetica"/>
                <w:sz w:val="20"/>
                <w:szCs w:val="20"/>
              </w:rPr>
            </w:pPr>
          </w:p>
          <w:p w14:paraId="7E69061A" w14:textId="77777777" w:rsidR="00AB3EA5" w:rsidRDefault="00AB3EA5" w:rsidP="00AC3D4C">
            <w:pPr>
              <w:ind w:left="-567" w:right="-62"/>
              <w:rPr>
                <w:rFonts w:ascii="Helvetica" w:hAnsi="Helvetica"/>
                <w:sz w:val="20"/>
                <w:szCs w:val="20"/>
              </w:rPr>
            </w:pPr>
          </w:p>
          <w:p w14:paraId="1E1BFE12" w14:textId="77777777" w:rsidR="00AB3EA5" w:rsidRDefault="00AB3EA5" w:rsidP="00AC3D4C">
            <w:pPr>
              <w:ind w:left="-567" w:right="-62"/>
              <w:rPr>
                <w:rFonts w:ascii="Helvetica" w:hAnsi="Helvetica"/>
                <w:sz w:val="20"/>
                <w:szCs w:val="20"/>
              </w:rPr>
            </w:pPr>
          </w:p>
          <w:p w14:paraId="53432660" w14:textId="08C014EC" w:rsidR="00712FD5" w:rsidRDefault="00FD40ED" w:rsidP="00AC3D4C">
            <w:pPr>
              <w:ind w:right="-62"/>
              <w:rPr>
                <w:rFonts w:ascii="Helvetica" w:hAnsi="Helvetica"/>
                <w:sz w:val="20"/>
                <w:szCs w:val="20"/>
              </w:rPr>
            </w:pPr>
            <w:r>
              <w:rPr>
                <w:rFonts w:ascii="Helvetica" w:hAnsi="Helvetica"/>
                <w:sz w:val="20"/>
                <w:szCs w:val="20"/>
              </w:rPr>
              <w:t>GCSE Outc</w:t>
            </w:r>
            <w:r w:rsidR="00712FD5">
              <w:rPr>
                <w:rFonts w:ascii="Helvetica" w:hAnsi="Helvetica"/>
                <w:sz w:val="20"/>
                <w:szCs w:val="20"/>
              </w:rPr>
              <w:t xml:space="preserve">omes improved closing the gap between PP students and their peers: </w:t>
            </w:r>
          </w:p>
          <w:p w14:paraId="528E9289" w14:textId="77777777" w:rsidR="00712FD5" w:rsidRDefault="00712FD5" w:rsidP="00AC3D4C">
            <w:pPr>
              <w:ind w:right="-62"/>
              <w:rPr>
                <w:rFonts w:ascii="Helvetica" w:hAnsi="Helvetica"/>
                <w:sz w:val="20"/>
                <w:szCs w:val="20"/>
              </w:rPr>
            </w:pPr>
          </w:p>
          <w:tbl>
            <w:tblPr>
              <w:tblStyle w:val="TableGrid"/>
              <w:tblW w:w="7458" w:type="dxa"/>
              <w:tblInd w:w="108" w:type="dxa"/>
              <w:tblLook w:val="04A0" w:firstRow="1" w:lastRow="0" w:firstColumn="1" w:lastColumn="0" w:noHBand="0" w:noVBand="1"/>
            </w:tblPr>
            <w:tblGrid>
              <w:gridCol w:w="1363"/>
              <w:gridCol w:w="764"/>
              <w:gridCol w:w="764"/>
              <w:gridCol w:w="747"/>
              <w:gridCol w:w="764"/>
              <w:gridCol w:w="764"/>
              <w:gridCol w:w="764"/>
              <w:gridCol w:w="764"/>
              <w:gridCol w:w="764"/>
            </w:tblGrid>
            <w:tr w:rsidR="00AB3EA5" w14:paraId="3E45C142" w14:textId="77777777" w:rsidTr="009D62B0">
              <w:trPr>
                <w:trHeight w:val="263"/>
              </w:trPr>
              <w:tc>
                <w:tcPr>
                  <w:tcW w:w="1403" w:type="dxa"/>
                  <w:vMerge w:val="restart"/>
                  <w:shd w:val="clear" w:color="auto" w:fill="B3B3B3"/>
                </w:tcPr>
                <w:p w14:paraId="16FFDBE5" w14:textId="77777777" w:rsidR="00AB3EA5" w:rsidRDefault="00AB3EA5" w:rsidP="00D345E0">
                  <w:pPr>
                    <w:framePr w:hSpace="180" w:wrap="around" w:vAnchor="text" w:hAnchor="text" w:x="13" w:y="1"/>
                    <w:spacing w:line="276" w:lineRule="auto"/>
                    <w:suppressOverlap/>
                    <w:jc w:val="center"/>
                    <w:rPr>
                      <w:b/>
                    </w:rPr>
                  </w:pPr>
                </w:p>
                <w:p w14:paraId="70A38C06" w14:textId="77777777" w:rsidR="00AB3EA5" w:rsidRPr="000E1755" w:rsidRDefault="00AB3EA5" w:rsidP="00D345E0">
                  <w:pPr>
                    <w:framePr w:hSpace="180" w:wrap="around" w:vAnchor="text" w:hAnchor="text" w:x="13" w:y="1"/>
                    <w:spacing w:line="276" w:lineRule="auto"/>
                    <w:suppressOverlap/>
                    <w:jc w:val="center"/>
                    <w:rPr>
                      <w:b/>
                    </w:rPr>
                  </w:pPr>
                </w:p>
              </w:tc>
              <w:tc>
                <w:tcPr>
                  <w:tcW w:w="3031" w:type="dxa"/>
                  <w:gridSpan w:val="4"/>
                  <w:shd w:val="clear" w:color="auto" w:fill="99CCFF"/>
                </w:tcPr>
                <w:p w14:paraId="4D3FA5FC" w14:textId="77777777" w:rsidR="00AB3EA5" w:rsidRPr="000E1755" w:rsidRDefault="00AB3EA5" w:rsidP="00D345E0">
                  <w:pPr>
                    <w:framePr w:hSpace="180" w:wrap="around" w:vAnchor="text" w:hAnchor="text" w:x="13" w:y="1"/>
                    <w:spacing w:line="276" w:lineRule="auto"/>
                    <w:suppressOverlap/>
                    <w:jc w:val="center"/>
                    <w:rPr>
                      <w:b/>
                    </w:rPr>
                  </w:pPr>
                  <w:r w:rsidRPr="000E1755">
                    <w:rPr>
                      <w:b/>
                    </w:rPr>
                    <w:t>2015/16</w:t>
                  </w:r>
                </w:p>
              </w:tc>
              <w:tc>
                <w:tcPr>
                  <w:tcW w:w="3024" w:type="dxa"/>
                  <w:gridSpan w:val="4"/>
                  <w:shd w:val="clear" w:color="auto" w:fill="CC99FF"/>
                </w:tcPr>
                <w:p w14:paraId="1DCF8C4A" w14:textId="77777777" w:rsidR="00AB3EA5" w:rsidRPr="000E1755" w:rsidRDefault="00AB3EA5" w:rsidP="00D345E0">
                  <w:pPr>
                    <w:framePr w:hSpace="180" w:wrap="around" w:vAnchor="text" w:hAnchor="text" w:x="13" w:y="1"/>
                    <w:spacing w:line="276" w:lineRule="auto"/>
                    <w:suppressOverlap/>
                    <w:jc w:val="center"/>
                    <w:rPr>
                      <w:b/>
                    </w:rPr>
                  </w:pPr>
                  <w:r w:rsidRPr="000E1755">
                    <w:rPr>
                      <w:b/>
                    </w:rPr>
                    <w:t>2016/17</w:t>
                  </w:r>
                </w:p>
              </w:tc>
            </w:tr>
            <w:tr w:rsidR="00AB3EA5" w14:paraId="07BFABC8" w14:textId="77777777" w:rsidTr="009D62B0">
              <w:trPr>
                <w:trHeight w:val="339"/>
              </w:trPr>
              <w:tc>
                <w:tcPr>
                  <w:tcW w:w="1403" w:type="dxa"/>
                  <w:vMerge/>
                  <w:shd w:val="clear" w:color="auto" w:fill="B3B3B3"/>
                </w:tcPr>
                <w:p w14:paraId="1513DAAB" w14:textId="77777777" w:rsidR="00AB3EA5" w:rsidRPr="000E1755" w:rsidRDefault="00AB3EA5" w:rsidP="00D345E0">
                  <w:pPr>
                    <w:framePr w:hSpace="180" w:wrap="around" w:vAnchor="text" w:hAnchor="text" w:x="13" w:y="1"/>
                    <w:suppressOverlap/>
                    <w:jc w:val="center"/>
                    <w:rPr>
                      <w:b/>
                    </w:rPr>
                  </w:pPr>
                </w:p>
              </w:tc>
              <w:tc>
                <w:tcPr>
                  <w:tcW w:w="756" w:type="dxa"/>
                </w:tcPr>
                <w:p w14:paraId="35B895DB" w14:textId="77777777" w:rsidR="00AB3EA5" w:rsidRPr="000E1755" w:rsidRDefault="00AB3EA5" w:rsidP="00D345E0">
                  <w:pPr>
                    <w:framePr w:hSpace="180" w:wrap="around" w:vAnchor="text" w:hAnchor="text" w:x="13" w:y="1"/>
                    <w:suppressOverlap/>
                    <w:jc w:val="center"/>
                    <w:rPr>
                      <w:b/>
                    </w:rPr>
                  </w:pPr>
                  <w:r w:rsidRPr="000E1755">
                    <w:rPr>
                      <w:b/>
                    </w:rPr>
                    <w:t>PP</w:t>
                  </w:r>
                </w:p>
              </w:tc>
              <w:tc>
                <w:tcPr>
                  <w:tcW w:w="757" w:type="dxa"/>
                </w:tcPr>
                <w:p w14:paraId="0559D432" w14:textId="77777777" w:rsidR="00AB3EA5" w:rsidRPr="000E1755" w:rsidRDefault="00AB3EA5" w:rsidP="00D345E0">
                  <w:pPr>
                    <w:framePr w:hSpace="180" w:wrap="around" w:vAnchor="text" w:hAnchor="text" w:x="13" w:y="1"/>
                    <w:suppressOverlap/>
                    <w:jc w:val="center"/>
                    <w:rPr>
                      <w:b/>
                    </w:rPr>
                  </w:pPr>
                  <w:r w:rsidRPr="000E1755">
                    <w:rPr>
                      <w:b/>
                    </w:rPr>
                    <w:t xml:space="preserve">Non PP </w:t>
                  </w:r>
                </w:p>
              </w:tc>
              <w:tc>
                <w:tcPr>
                  <w:tcW w:w="757" w:type="dxa"/>
                </w:tcPr>
                <w:p w14:paraId="622E2946" w14:textId="77777777" w:rsidR="00AB3EA5" w:rsidRPr="000E1755" w:rsidRDefault="00AB3EA5" w:rsidP="00D345E0">
                  <w:pPr>
                    <w:framePr w:hSpace="180" w:wrap="around" w:vAnchor="text" w:hAnchor="text" w:x="13" w:y="1"/>
                    <w:suppressOverlap/>
                    <w:jc w:val="center"/>
                    <w:rPr>
                      <w:b/>
                    </w:rPr>
                  </w:pPr>
                  <w:r w:rsidRPr="000E1755">
                    <w:rPr>
                      <w:b/>
                    </w:rPr>
                    <w:t>PP Shine</w:t>
                  </w:r>
                </w:p>
              </w:tc>
              <w:tc>
                <w:tcPr>
                  <w:tcW w:w="760" w:type="dxa"/>
                </w:tcPr>
                <w:p w14:paraId="1FF25B97" w14:textId="77777777" w:rsidR="00AB3EA5" w:rsidRPr="000E1755" w:rsidRDefault="00AB3EA5" w:rsidP="00D345E0">
                  <w:pPr>
                    <w:framePr w:hSpace="180" w:wrap="around" w:vAnchor="text" w:hAnchor="text" w:x="13" w:y="1"/>
                    <w:suppressOverlap/>
                    <w:jc w:val="center"/>
                    <w:rPr>
                      <w:b/>
                    </w:rPr>
                  </w:pPr>
                  <w:r w:rsidRPr="000E1755">
                    <w:rPr>
                      <w:b/>
                    </w:rPr>
                    <w:t>Non PP Shine</w:t>
                  </w:r>
                </w:p>
              </w:tc>
              <w:tc>
                <w:tcPr>
                  <w:tcW w:w="753" w:type="dxa"/>
                  <w:tcBorders>
                    <w:bottom w:val="single" w:sz="4" w:space="0" w:color="auto"/>
                  </w:tcBorders>
                </w:tcPr>
                <w:p w14:paraId="2FB07EAE" w14:textId="77777777" w:rsidR="00AB3EA5" w:rsidRPr="000E1755" w:rsidRDefault="00AB3EA5" w:rsidP="00D345E0">
                  <w:pPr>
                    <w:framePr w:hSpace="180" w:wrap="around" w:vAnchor="text" w:hAnchor="text" w:x="13" w:y="1"/>
                    <w:suppressOverlap/>
                    <w:jc w:val="center"/>
                    <w:rPr>
                      <w:b/>
                    </w:rPr>
                  </w:pPr>
                  <w:r w:rsidRPr="000E1755">
                    <w:rPr>
                      <w:b/>
                    </w:rPr>
                    <w:t>PP</w:t>
                  </w:r>
                </w:p>
              </w:tc>
              <w:tc>
                <w:tcPr>
                  <w:tcW w:w="757" w:type="dxa"/>
                  <w:tcBorders>
                    <w:bottom w:val="single" w:sz="4" w:space="0" w:color="auto"/>
                  </w:tcBorders>
                </w:tcPr>
                <w:p w14:paraId="20F8B659" w14:textId="77777777" w:rsidR="00AB3EA5" w:rsidRPr="000E1755" w:rsidRDefault="00AB3EA5" w:rsidP="00D345E0">
                  <w:pPr>
                    <w:framePr w:hSpace="180" w:wrap="around" w:vAnchor="text" w:hAnchor="text" w:x="13" w:y="1"/>
                    <w:suppressOverlap/>
                    <w:jc w:val="center"/>
                    <w:rPr>
                      <w:b/>
                    </w:rPr>
                  </w:pPr>
                  <w:r w:rsidRPr="000E1755">
                    <w:rPr>
                      <w:b/>
                    </w:rPr>
                    <w:t>Non PP</w:t>
                  </w:r>
                </w:p>
              </w:tc>
              <w:tc>
                <w:tcPr>
                  <w:tcW w:w="757" w:type="dxa"/>
                </w:tcPr>
                <w:p w14:paraId="007845B5" w14:textId="77777777" w:rsidR="00AB3EA5" w:rsidRPr="000E1755" w:rsidRDefault="00AB3EA5" w:rsidP="00D345E0">
                  <w:pPr>
                    <w:framePr w:hSpace="180" w:wrap="around" w:vAnchor="text" w:hAnchor="text" w:x="13" w:y="1"/>
                    <w:suppressOverlap/>
                    <w:jc w:val="center"/>
                    <w:rPr>
                      <w:b/>
                    </w:rPr>
                  </w:pPr>
                  <w:r w:rsidRPr="000E1755">
                    <w:rPr>
                      <w:b/>
                    </w:rPr>
                    <w:t>PP Shine</w:t>
                  </w:r>
                </w:p>
              </w:tc>
              <w:tc>
                <w:tcPr>
                  <w:tcW w:w="757" w:type="dxa"/>
                  <w:tcBorders>
                    <w:bottom w:val="single" w:sz="4" w:space="0" w:color="auto"/>
                  </w:tcBorders>
                </w:tcPr>
                <w:p w14:paraId="2116EE46" w14:textId="77777777" w:rsidR="00AB3EA5" w:rsidRPr="000E1755" w:rsidRDefault="00AB3EA5" w:rsidP="00D345E0">
                  <w:pPr>
                    <w:framePr w:hSpace="180" w:wrap="around" w:vAnchor="text" w:hAnchor="text" w:x="13" w:y="1"/>
                    <w:suppressOverlap/>
                    <w:jc w:val="center"/>
                    <w:rPr>
                      <w:b/>
                    </w:rPr>
                  </w:pPr>
                  <w:r w:rsidRPr="000E1755">
                    <w:rPr>
                      <w:b/>
                    </w:rPr>
                    <w:t>Non PP Shine</w:t>
                  </w:r>
                </w:p>
              </w:tc>
            </w:tr>
            <w:tr w:rsidR="00AB3EA5" w14:paraId="2E8B3D89" w14:textId="77777777" w:rsidTr="009D62B0">
              <w:trPr>
                <w:trHeight w:val="302"/>
              </w:trPr>
              <w:tc>
                <w:tcPr>
                  <w:tcW w:w="1403" w:type="dxa"/>
                </w:tcPr>
                <w:p w14:paraId="5F2DC70C" w14:textId="77777777" w:rsidR="00AB3EA5" w:rsidRPr="000E1755" w:rsidRDefault="00AB3EA5" w:rsidP="00D345E0">
                  <w:pPr>
                    <w:framePr w:hSpace="180" w:wrap="around" w:vAnchor="text" w:hAnchor="text" w:x="13" w:y="1"/>
                    <w:spacing w:line="360" w:lineRule="auto"/>
                    <w:suppressOverlap/>
                    <w:jc w:val="center"/>
                    <w:rPr>
                      <w:b/>
                    </w:rPr>
                  </w:pPr>
                  <w:r w:rsidRPr="000E1755">
                    <w:rPr>
                      <w:b/>
                    </w:rPr>
                    <w:t>Progress 8</w:t>
                  </w:r>
                </w:p>
              </w:tc>
              <w:tc>
                <w:tcPr>
                  <w:tcW w:w="756" w:type="dxa"/>
                </w:tcPr>
                <w:p w14:paraId="7A3A0012" w14:textId="77777777" w:rsidR="00AB3EA5" w:rsidRDefault="00AB3EA5" w:rsidP="00D345E0">
                  <w:pPr>
                    <w:framePr w:hSpace="180" w:wrap="around" w:vAnchor="text" w:hAnchor="text" w:x="13" w:y="1"/>
                    <w:spacing w:line="360" w:lineRule="auto"/>
                    <w:suppressOverlap/>
                    <w:jc w:val="center"/>
                  </w:pPr>
                  <w:r>
                    <w:t>-0.92</w:t>
                  </w:r>
                </w:p>
              </w:tc>
              <w:tc>
                <w:tcPr>
                  <w:tcW w:w="757" w:type="dxa"/>
                </w:tcPr>
                <w:p w14:paraId="1E21997E" w14:textId="77777777" w:rsidR="00AB3EA5" w:rsidRDefault="00AB3EA5" w:rsidP="00D345E0">
                  <w:pPr>
                    <w:framePr w:hSpace="180" w:wrap="around" w:vAnchor="text" w:hAnchor="text" w:x="13" w:y="1"/>
                    <w:spacing w:line="360" w:lineRule="auto"/>
                    <w:suppressOverlap/>
                    <w:jc w:val="center"/>
                  </w:pPr>
                  <w:r>
                    <w:t>-0.28</w:t>
                  </w:r>
                </w:p>
              </w:tc>
              <w:tc>
                <w:tcPr>
                  <w:tcW w:w="757" w:type="dxa"/>
                </w:tcPr>
                <w:p w14:paraId="0A0A406E" w14:textId="77777777" w:rsidR="00AB3EA5" w:rsidRDefault="00AB3EA5" w:rsidP="00D345E0">
                  <w:pPr>
                    <w:framePr w:hSpace="180" w:wrap="around" w:vAnchor="text" w:hAnchor="text" w:x="13" w:y="1"/>
                    <w:spacing w:line="360" w:lineRule="auto"/>
                    <w:suppressOverlap/>
                    <w:jc w:val="center"/>
                  </w:pPr>
                  <w:r>
                    <w:t>-0.15</w:t>
                  </w:r>
                </w:p>
              </w:tc>
              <w:tc>
                <w:tcPr>
                  <w:tcW w:w="760" w:type="dxa"/>
                </w:tcPr>
                <w:p w14:paraId="465684A4" w14:textId="77777777" w:rsidR="00AB3EA5" w:rsidRDefault="00AB3EA5" w:rsidP="00D345E0">
                  <w:pPr>
                    <w:framePr w:hSpace="180" w:wrap="around" w:vAnchor="text" w:hAnchor="text" w:x="13" w:y="1"/>
                    <w:spacing w:line="360" w:lineRule="auto"/>
                    <w:suppressOverlap/>
                    <w:jc w:val="center"/>
                  </w:pPr>
                  <w:r>
                    <w:t>-0.29</w:t>
                  </w:r>
                </w:p>
              </w:tc>
              <w:tc>
                <w:tcPr>
                  <w:tcW w:w="753" w:type="dxa"/>
                  <w:tcBorders>
                    <w:bottom w:val="single" w:sz="4" w:space="0" w:color="auto"/>
                  </w:tcBorders>
                  <w:shd w:val="clear" w:color="auto" w:fill="99CC00"/>
                </w:tcPr>
                <w:p w14:paraId="002B68C4" w14:textId="77777777" w:rsidR="00AB3EA5" w:rsidRDefault="00AB3EA5" w:rsidP="00D345E0">
                  <w:pPr>
                    <w:framePr w:hSpace="180" w:wrap="around" w:vAnchor="text" w:hAnchor="text" w:x="13" w:y="1"/>
                    <w:spacing w:line="360" w:lineRule="auto"/>
                    <w:suppressOverlap/>
                    <w:jc w:val="center"/>
                  </w:pPr>
                  <w:r>
                    <w:t>-0.25</w:t>
                  </w:r>
                </w:p>
              </w:tc>
              <w:tc>
                <w:tcPr>
                  <w:tcW w:w="757" w:type="dxa"/>
                  <w:tcBorders>
                    <w:bottom w:val="single" w:sz="4" w:space="0" w:color="auto"/>
                  </w:tcBorders>
                  <w:shd w:val="clear" w:color="auto" w:fill="99CC00"/>
                </w:tcPr>
                <w:p w14:paraId="1C5ECADF" w14:textId="77777777" w:rsidR="00AB3EA5" w:rsidRDefault="00AB3EA5" w:rsidP="00D345E0">
                  <w:pPr>
                    <w:framePr w:hSpace="180" w:wrap="around" w:vAnchor="text" w:hAnchor="text" w:x="13" w:y="1"/>
                    <w:spacing w:line="360" w:lineRule="auto"/>
                    <w:suppressOverlap/>
                    <w:jc w:val="center"/>
                  </w:pPr>
                  <w:r>
                    <w:t>-0.03</w:t>
                  </w:r>
                </w:p>
              </w:tc>
              <w:tc>
                <w:tcPr>
                  <w:tcW w:w="757" w:type="dxa"/>
                </w:tcPr>
                <w:p w14:paraId="7B99922B" w14:textId="77777777" w:rsidR="00AB3EA5" w:rsidRDefault="00AB3EA5" w:rsidP="00D345E0">
                  <w:pPr>
                    <w:framePr w:hSpace="180" w:wrap="around" w:vAnchor="text" w:hAnchor="text" w:x="13" w:y="1"/>
                    <w:spacing w:line="360" w:lineRule="auto"/>
                    <w:suppressOverlap/>
                    <w:jc w:val="center"/>
                  </w:pPr>
                  <w:r>
                    <w:t>-0.55</w:t>
                  </w:r>
                </w:p>
              </w:tc>
              <w:tc>
                <w:tcPr>
                  <w:tcW w:w="757" w:type="dxa"/>
                  <w:shd w:val="clear" w:color="auto" w:fill="99CC00"/>
                </w:tcPr>
                <w:p w14:paraId="4D897CF2" w14:textId="77777777" w:rsidR="00AB3EA5" w:rsidRDefault="00AB3EA5" w:rsidP="00D345E0">
                  <w:pPr>
                    <w:framePr w:hSpace="180" w:wrap="around" w:vAnchor="text" w:hAnchor="text" w:x="13" w:y="1"/>
                    <w:spacing w:line="360" w:lineRule="auto"/>
                    <w:suppressOverlap/>
                    <w:jc w:val="center"/>
                  </w:pPr>
                  <w:r>
                    <w:t>0.24</w:t>
                  </w:r>
                </w:p>
              </w:tc>
            </w:tr>
            <w:tr w:rsidR="00AB3EA5" w14:paraId="3AE5679E" w14:textId="77777777" w:rsidTr="009D62B0">
              <w:trPr>
                <w:trHeight w:val="290"/>
              </w:trPr>
              <w:tc>
                <w:tcPr>
                  <w:tcW w:w="1403" w:type="dxa"/>
                </w:tcPr>
                <w:p w14:paraId="2EC480A5" w14:textId="77777777" w:rsidR="00AB3EA5" w:rsidRPr="000E1755" w:rsidRDefault="00AB3EA5" w:rsidP="00D345E0">
                  <w:pPr>
                    <w:framePr w:hSpace="180" w:wrap="around" w:vAnchor="text" w:hAnchor="text" w:x="13" w:y="1"/>
                    <w:spacing w:line="360" w:lineRule="auto"/>
                    <w:suppressOverlap/>
                    <w:jc w:val="center"/>
                    <w:rPr>
                      <w:b/>
                    </w:rPr>
                  </w:pPr>
                  <w:r w:rsidRPr="000E1755">
                    <w:rPr>
                      <w:b/>
                    </w:rPr>
                    <w:t>Attainment 8</w:t>
                  </w:r>
                </w:p>
              </w:tc>
              <w:tc>
                <w:tcPr>
                  <w:tcW w:w="756" w:type="dxa"/>
                </w:tcPr>
                <w:p w14:paraId="4388058B" w14:textId="77777777" w:rsidR="00AB3EA5" w:rsidRDefault="00AB3EA5" w:rsidP="00D345E0">
                  <w:pPr>
                    <w:framePr w:hSpace="180" w:wrap="around" w:vAnchor="text" w:hAnchor="text" w:x="13" w:y="1"/>
                    <w:spacing w:line="360" w:lineRule="auto"/>
                    <w:suppressOverlap/>
                    <w:jc w:val="center"/>
                  </w:pPr>
                  <w:r>
                    <w:t>35.47</w:t>
                  </w:r>
                </w:p>
              </w:tc>
              <w:tc>
                <w:tcPr>
                  <w:tcW w:w="757" w:type="dxa"/>
                </w:tcPr>
                <w:p w14:paraId="544989E6" w14:textId="77777777" w:rsidR="00AB3EA5" w:rsidRDefault="00AB3EA5" w:rsidP="00D345E0">
                  <w:pPr>
                    <w:framePr w:hSpace="180" w:wrap="around" w:vAnchor="text" w:hAnchor="text" w:x="13" w:y="1"/>
                    <w:spacing w:line="360" w:lineRule="auto"/>
                    <w:suppressOverlap/>
                    <w:jc w:val="center"/>
                  </w:pPr>
                  <w:r>
                    <w:t>45.56</w:t>
                  </w:r>
                </w:p>
              </w:tc>
              <w:tc>
                <w:tcPr>
                  <w:tcW w:w="757" w:type="dxa"/>
                </w:tcPr>
                <w:p w14:paraId="243C25AE" w14:textId="77777777" w:rsidR="00AB3EA5" w:rsidRDefault="00AB3EA5" w:rsidP="00D345E0">
                  <w:pPr>
                    <w:framePr w:hSpace="180" w:wrap="around" w:vAnchor="text" w:hAnchor="text" w:x="13" w:y="1"/>
                    <w:spacing w:line="360" w:lineRule="auto"/>
                    <w:suppressOverlap/>
                    <w:jc w:val="center"/>
                  </w:pPr>
                  <w:r>
                    <w:t>63.75</w:t>
                  </w:r>
                </w:p>
              </w:tc>
              <w:tc>
                <w:tcPr>
                  <w:tcW w:w="760" w:type="dxa"/>
                </w:tcPr>
                <w:p w14:paraId="327E57FB" w14:textId="77777777" w:rsidR="00AB3EA5" w:rsidRDefault="00AB3EA5" w:rsidP="00D345E0">
                  <w:pPr>
                    <w:framePr w:hSpace="180" w:wrap="around" w:vAnchor="text" w:hAnchor="text" w:x="13" w:y="1"/>
                    <w:spacing w:line="360" w:lineRule="auto"/>
                    <w:suppressOverlap/>
                    <w:jc w:val="center"/>
                  </w:pPr>
                  <w:r>
                    <w:t>61</w:t>
                  </w:r>
                </w:p>
              </w:tc>
              <w:tc>
                <w:tcPr>
                  <w:tcW w:w="753" w:type="dxa"/>
                  <w:shd w:val="clear" w:color="auto" w:fill="99CC00"/>
                </w:tcPr>
                <w:p w14:paraId="340214DF" w14:textId="77777777" w:rsidR="00AB3EA5" w:rsidRDefault="00AB3EA5" w:rsidP="00D345E0">
                  <w:pPr>
                    <w:framePr w:hSpace="180" w:wrap="around" w:vAnchor="text" w:hAnchor="text" w:x="13" w:y="1"/>
                    <w:spacing w:line="360" w:lineRule="auto"/>
                    <w:suppressOverlap/>
                    <w:jc w:val="center"/>
                  </w:pPr>
                  <w:r>
                    <w:t>37.89</w:t>
                  </w:r>
                </w:p>
              </w:tc>
              <w:tc>
                <w:tcPr>
                  <w:tcW w:w="757" w:type="dxa"/>
                  <w:shd w:val="clear" w:color="auto" w:fill="99CC00"/>
                </w:tcPr>
                <w:p w14:paraId="4EE77CF0" w14:textId="77777777" w:rsidR="00AB3EA5" w:rsidRDefault="00AB3EA5" w:rsidP="00D345E0">
                  <w:pPr>
                    <w:framePr w:hSpace="180" w:wrap="around" w:vAnchor="text" w:hAnchor="text" w:x="13" w:y="1"/>
                    <w:spacing w:line="360" w:lineRule="auto"/>
                    <w:suppressOverlap/>
                    <w:jc w:val="center"/>
                  </w:pPr>
                  <w:r>
                    <w:t>45.87</w:t>
                  </w:r>
                </w:p>
              </w:tc>
              <w:tc>
                <w:tcPr>
                  <w:tcW w:w="757" w:type="dxa"/>
                </w:tcPr>
                <w:p w14:paraId="21B0D96F" w14:textId="77777777" w:rsidR="00AB3EA5" w:rsidRDefault="00AB3EA5" w:rsidP="00D345E0">
                  <w:pPr>
                    <w:framePr w:hSpace="180" w:wrap="around" w:vAnchor="text" w:hAnchor="text" w:x="13" w:y="1"/>
                    <w:spacing w:line="360" w:lineRule="auto"/>
                    <w:suppressOverlap/>
                    <w:jc w:val="center"/>
                  </w:pPr>
                  <w:r>
                    <w:t>53.48</w:t>
                  </w:r>
                </w:p>
              </w:tc>
              <w:tc>
                <w:tcPr>
                  <w:tcW w:w="757" w:type="dxa"/>
                  <w:shd w:val="clear" w:color="auto" w:fill="99CC00"/>
                </w:tcPr>
                <w:p w14:paraId="18922D6D" w14:textId="77777777" w:rsidR="00AB3EA5" w:rsidRDefault="00AB3EA5" w:rsidP="00D345E0">
                  <w:pPr>
                    <w:framePr w:hSpace="180" w:wrap="around" w:vAnchor="text" w:hAnchor="text" w:x="13" w:y="1"/>
                    <w:spacing w:line="360" w:lineRule="auto"/>
                    <w:suppressOverlap/>
                    <w:jc w:val="center"/>
                  </w:pPr>
                  <w:r>
                    <w:t>65.27</w:t>
                  </w:r>
                </w:p>
              </w:tc>
            </w:tr>
            <w:tr w:rsidR="00AB3EA5" w14:paraId="3F0D1246" w14:textId="77777777" w:rsidTr="009D62B0">
              <w:trPr>
                <w:trHeight w:val="302"/>
              </w:trPr>
              <w:tc>
                <w:tcPr>
                  <w:tcW w:w="1403" w:type="dxa"/>
                </w:tcPr>
                <w:p w14:paraId="0DC4FB02" w14:textId="77777777" w:rsidR="00AB3EA5" w:rsidRPr="000E1755" w:rsidRDefault="00AB3EA5" w:rsidP="00D345E0">
                  <w:pPr>
                    <w:framePr w:hSpace="180" w:wrap="around" w:vAnchor="text" w:hAnchor="text" w:x="13" w:y="1"/>
                    <w:spacing w:line="360" w:lineRule="auto"/>
                    <w:suppressOverlap/>
                    <w:jc w:val="center"/>
                    <w:rPr>
                      <w:b/>
                    </w:rPr>
                  </w:pPr>
                  <w:r w:rsidRPr="000E1755">
                    <w:rPr>
                      <w:b/>
                    </w:rPr>
                    <w:t>Basics C+</w:t>
                  </w:r>
                </w:p>
              </w:tc>
              <w:tc>
                <w:tcPr>
                  <w:tcW w:w="756" w:type="dxa"/>
                </w:tcPr>
                <w:p w14:paraId="58DE30B3" w14:textId="77777777" w:rsidR="00AB3EA5" w:rsidRDefault="00AB3EA5" w:rsidP="00D345E0">
                  <w:pPr>
                    <w:framePr w:hSpace="180" w:wrap="around" w:vAnchor="text" w:hAnchor="text" w:x="13" w:y="1"/>
                    <w:spacing w:line="360" w:lineRule="auto"/>
                    <w:suppressOverlap/>
                    <w:jc w:val="center"/>
                  </w:pPr>
                  <w:r>
                    <w:t>25.5%</w:t>
                  </w:r>
                </w:p>
              </w:tc>
              <w:tc>
                <w:tcPr>
                  <w:tcW w:w="757" w:type="dxa"/>
                </w:tcPr>
                <w:p w14:paraId="5EFF2CF9" w14:textId="77777777" w:rsidR="00AB3EA5" w:rsidRDefault="00AB3EA5" w:rsidP="00D345E0">
                  <w:pPr>
                    <w:framePr w:hSpace="180" w:wrap="around" w:vAnchor="text" w:hAnchor="text" w:x="13" w:y="1"/>
                    <w:spacing w:line="360" w:lineRule="auto"/>
                    <w:suppressOverlap/>
                    <w:jc w:val="center"/>
                  </w:pPr>
                  <w:r>
                    <w:t>49.5%</w:t>
                  </w:r>
                </w:p>
              </w:tc>
              <w:tc>
                <w:tcPr>
                  <w:tcW w:w="757" w:type="dxa"/>
                </w:tcPr>
                <w:p w14:paraId="7E6D4683" w14:textId="77777777" w:rsidR="00AB3EA5" w:rsidRDefault="00AB3EA5" w:rsidP="00D345E0">
                  <w:pPr>
                    <w:framePr w:hSpace="180" w:wrap="around" w:vAnchor="text" w:hAnchor="text" w:x="13" w:y="1"/>
                    <w:spacing w:line="360" w:lineRule="auto"/>
                    <w:suppressOverlap/>
                    <w:jc w:val="center"/>
                  </w:pPr>
                  <w:r>
                    <w:t>100%</w:t>
                  </w:r>
                </w:p>
              </w:tc>
              <w:tc>
                <w:tcPr>
                  <w:tcW w:w="760" w:type="dxa"/>
                </w:tcPr>
                <w:p w14:paraId="41370BAC" w14:textId="77777777" w:rsidR="00AB3EA5" w:rsidRDefault="00AB3EA5" w:rsidP="00D345E0">
                  <w:pPr>
                    <w:framePr w:hSpace="180" w:wrap="around" w:vAnchor="text" w:hAnchor="text" w:x="13" w:y="1"/>
                    <w:spacing w:line="360" w:lineRule="auto"/>
                    <w:suppressOverlap/>
                    <w:jc w:val="center"/>
                  </w:pPr>
                  <w:r>
                    <w:t>100%</w:t>
                  </w:r>
                </w:p>
              </w:tc>
              <w:tc>
                <w:tcPr>
                  <w:tcW w:w="3024" w:type="dxa"/>
                  <w:gridSpan w:val="4"/>
                  <w:tcBorders>
                    <w:bottom w:val="single" w:sz="4" w:space="0" w:color="auto"/>
                  </w:tcBorders>
                </w:tcPr>
                <w:p w14:paraId="77C79787" w14:textId="77777777" w:rsidR="00AB3EA5" w:rsidRDefault="00AB3EA5" w:rsidP="00D345E0">
                  <w:pPr>
                    <w:framePr w:hSpace="180" w:wrap="around" w:vAnchor="text" w:hAnchor="text" w:x="13" w:y="1"/>
                    <w:spacing w:line="360" w:lineRule="auto"/>
                    <w:suppressOverlap/>
                    <w:jc w:val="center"/>
                  </w:pPr>
                  <w:r>
                    <w:t>New 1-9 grading</w:t>
                  </w:r>
                </w:p>
              </w:tc>
            </w:tr>
            <w:tr w:rsidR="00AB3EA5" w14:paraId="42D923E6" w14:textId="77777777" w:rsidTr="009D62B0">
              <w:trPr>
                <w:trHeight w:val="290"/>
              </w:trPr>
              <w:tc>
                <w:tcPr>
                  <w:tcW w:w="1403" w:type="dxa"/>
                </w:tcPr>
                <w:p w14:paraId="7382E78F" w14:textId="77777777" w:rsidR="00AB3EA5" w:rsidRPr="000E1755" w:rsidRDefault="00AB3EA5" w:rsidP="00D345E0">
                  <w:pPr>
                    <w:framePr w:hSpace="180" w:wrap="around" w:vAnchor="text" w:hAnchor="text" w:x="13" w:y="1"/>
                    <w:spacing w:line="360" w:lineRule="auto"/>
                    <w:suppressOverlap/>
                    <w:jc w:val="center"/>
                    <w:rPr>
                      <w:b/>
                    </w:rPr>
                  </w:pPr>
                  <w:r w:rsidRPr="000E1755">
                    <w:rPr>
                      <w:b/>
                    </w:rPr>
                    <w:t>Basics 4+</w:t>
                  </w:r>
                </w:p>
              </w:tc>
              <w:tc>
                <w:tcPr>
                  <w:tcW w:w="3031" w:type="dxa"/>
                  <w:gridSpan w:val="4"/>
                </w:tcPr>
                <w:p w14:paraId="7FFA5ADF" w14:textId="77777777" w:rsidR="00AB3EA5" w:rsidRDefault="00AB3EA5" w:rsidP="00D345E0">
                  <w:pPr>
                    <w:framePr w:hSpace="180" w:wrap="around" w:vAnchor="text" w:hAnchor="text" w:x="13" w:y="1"/>
                    <w:tabs>
                      <w:tab w:val="left" w:pos="396"/>
                    </w:tabs>
                    <w:spacing w:line="360" w:lineRule="auto"/>
                    <w:suppressOverlap/>
                    <w:jc w:val="center"/>
                  </w:pPr>
                  <w:r>
                    <w:t>Old A*-G grading</w:t>
                  </w:r>
                </w:p>
              </w:tc>
              <w:tc>
                <w:tcPr>
                  <w:tcW w:w="753" w:type="dxa"/>
                  <w:shd w:val="clear" w:color="auto" w:fill="99CC00"/>
                </w:tcPr>
                <w:p w14:paraId="427D1C04" w14:textId="77777777" w:rsidR="00AB3EA5" w:rsidRDefault="00AB3EA5" w:rsidP="00D345E0">
                  <w:pPr>
                    <w:framePr w:hSpace="180" w:wrap="around" w:vAnchor="text" w:hAnchor="text" w:x="13" w:y="1"/>
                    <w:spacing w:line="360" w:lineRule="auto"/>
                    <w:suppressOverlap/>
                    <w:jc w:val="center"/>
                  </w:pPr>
                  <w:r>
                    <w:t>39.8%</w:t>
                  </w:r>
                </w:p>
              </w:tc>
              <w:tc>
                <w:tcPr>
                  <w:tcW w:w="757" w:type="dxa"/>
                  <w:shd w:val="clear" w:color="auto" w:fill="99CC00"/>
                </w:tcPr>
                <w:p w14:paraId="54A89ACC" w14:textId="77777777" w:rsidR="00AB3EA5" w:rsidRDefault="00AB3EA5" w:rsidP="00D345E0">
                  <w:pPr>
                    <w:framePr w:hSpace="180" w:wrap="around" w:vAnchor="text" w:hAnchor="text" w:x="13" w:y="1"/>
                    <w:spacing w:line="360" w:lineRule="auto"/>
                    <w:suppressOverlap/>
                    <w:jc w:val="center"/>
                  </w:pPr>
                  <w:r>
                    <w:t>60.8%</w:t>
                  </w:r>
                </w:p>
              </w:tc>
              <w:tc>
                <w:tcPr>
                  <w:tcW w:w="757" w:type="dxa"/>
                </w:tcPr>
                <w:p w14:paraId="634759AD" w14:textId="77777777" w:rsidR="00AB3EA5" w:rsidRDefault="00AB3EA5" w:rsidP="00D345E0">
                  <w:pPr>
                    <w:framePr w:hSpace="180" w:wrap="around" w:vAnchor="text" w:hAnchor="text" w:x="13" w:y="1"/>
                    <w:spacing w:line="360" w:lineRule="auto"/>
                    <w:suppressOverlap/>
                    <w:jc w:val="center"/>
                  </w:pPr>
                  <w:r>
                    <w:t>90.9%</w:t>
                  </w:r>
                </w:p>
              </w:tc>
              <w:tc>
                <w:tcPr>
                  <w:tcW w:w="757" w:type="dxa"/>
                </w:tcPr>
                <w:p w14:paraId="43482C52" w14:textId="77777777" w:rsidR="00AB3EA5" w:rsidRDefault="00AB3EA5" w:rsidP="00D345E0">
                  <w:pPr>
                    <w:framePr w:hSpace="180" w:wrap="around" w:vAnchor="text" w:hAnchor="text" w:x="13" w:y="1"/>
                    <w:spacing w:line="360" w:lineRule="auto"/>
                    <w:suppressOverlap/>
                    <w:jc w:val="center"/>
                  </w:pPr>
                  <w:r>
                    <w:t>82.6%</w:t>
                  </w:r>
                </w:p>
              </w:tc>
            </w:tr>
            <w:tr w:rsidR="00AB3EA5" w14:paraId="267FF53B" w14:textId="77777777" w:rsidTr="009D62B0">
              <w:trPr>
                <w:trHeight w:val="302"/>
              </w:trPr>
              <w:tc>
                <w:tcPr>
                  <w:tcW w:w="1403" w:type="dxa"/>
                </w:tcPr>
                <w:p w14:paraId="1F430DCA" w14:textId="77777777" w:rsidR="00AB3EA5" w:rsidRPr="000E1755" w:rsidRDefault="00AB3EA5" w:rsidP="00D345E0">
                  <w:pPr>
                    <w:framePr w:hSpace="180" w:wrap="around" w:vAnchor="text" w:hAnchor="text" w:x="13" w:y="1"/>
                    <w:spacing w:line="360" w:lineRule="auto"/>
                    <w:suppressOverlap/>
                    <w:jc w:val="center"/>
                    <w:rPr>
                      <w:b/>
                    </w:rPr>
                  </w:pPr>
                  <w:r w:rsidRPr="000E1755">
                    <w:rPr>
                      <w:b/>
                    </w:rPr>
                    <w:t>Basics 5+</w:t>
                  </w:r>
                </w:p>
              </w:tc>
              <w:tc>
                <w:tcPr>
                  <w:tcW w:w="3031" w:type="dxa"/>
                  <w:gridSpan w:val="4"/>
                </w:tcPr>
                <w:p w14:paraId="6A74D30D" w14:textId="77777777" w:rsidR="00AB3EA5" w:rsidRDefault="00AB3EA5" w:rsidP="00D345E0">
                  <w:pPr>
                    <w:framePr w:hSpace="180" w:wrap="around" w:vAnchor="text" w:hAnchor="text" w:x="13" w:y="1"/>
                    <w:spacing w:line="360" w:lineRule="auto"/>
                    <w:suppressOverlap/>
                    <w:jc w:val="center"/>
                  </w:pPr>
                  <w:r>
                    <w:t>Old A*-G grading</w:t>
                  </w:r>
                </w:p>
              </w:tc>
              <w:tc>
                <w:tcPr>
                  <w:tcW w:w="753" w:type="dxa"/>
                  <w:shd w:val="clear" w:color="auto" w:fill="99CC00"/>
                </w:tcPr>
                <w:p w14:paraId="1ED17D4E" w14:textId="77777777" w:rsidR="00AB3EA5" w:rsidRDefault="00AB3EA5" w:rsidP="00D345E0">
                  <w:pPr>
                    <w:framePr w:hSpace="180" w:wrap="around" w:vAnchor="text" w:hAnchor="text" w:x="13" w:y="1"/>
                    <w:spacing w:line="360" w:lineRule="auto"/>
                    <w:suppressOverlap/>
                    <w:jc w:val="center"/>
                  </w:pPr>
                  <w:r>
                    <w:t>19.4%</w:t>
                  </w:r>
                </w:p>
              </w:tc>
              <w:tc>
                <w:tcPr>
                  <w:tcW w:w="757" w:type="dxa"/>
                  <w:shd w:val="clear" w:color="auto" w:fill="99CC00"/>
                </w:tcPr>
                <w:p w14:paraId="65C0DC2C" w14:textId="77777777" w:rsidR="00AB3EA5" w:rsidRDefault="00AB3EA5" w:rsidP="00D345E0">
                  <w:pPr>
                    <w:framePr w:hSpace="180" w:wrap="around" w:vAnchor="text" w:hAnchor="text" w:x="13" w:y="1"/>
                    <w:spacing w:line="360" w:lineRule="auto"/>
                    <w:suppressOverlap/>
                    <w:jc w:val="center"/>
                  </w:pPr>
                  <w:r>
                    <w:t>41.8%</w:t>
                  </w:r>
                </w:p>
              </w:tc>
              <w:tc>
                <w:tcPr>
                  <w:tcW w:w="757" w:type="dxa"/>
                </w:tcPr>
                <w:p w14:paraId="32CB5EB9" w14:textId="77777777" w:rsidR="00AB3EA5" w:rsidRDefault="00AB3EA5" w:rsidP="00D345E0">
                  <w:pPr>
                    <w:framePr w:hSpace="180" w:wrap="around" w:vAnchor="text" w:hAnchor="text" w:x="13" w:y="1"/>
                    <w:spacing w:line="360" w:lineRule="auto"/>
                    <w:suppressOverlap/>
                    <w:jc w:val="center"/>
                  </w:pPr>
                  <w:r>
                    <w:t>63.6</w:t>
                  </w:r>
                </w:p>
              </w:tc>
              <w:tc>
                <w:tcPr>
                  <w:tcW w:w="757" w:type="dxa"/>
                </w:tcPr>
                <w:p w14:paraId="3EFDB7C6" w14:textId="77777777" w:rsidR="00AB3EA5" w:rsidRDefault="00AB3EA5" w:rsidP="00D345E0">
                  <w:pPr>
                    <w:framePr w:hSpace="180" w:wrap="around" w:vAnchor="text" w:hAnchor="text" w:x="13" w:y="1"/>
                    <w:spacing w:line="360" w:lineRule="auto"/>
                    <w:suppressOverlap/>
                    <w:jc w:val="center"/>
                  </w:pPr>
                  <w:r>
                    <w:t>72.5%</w:t>
                  </w:r>
                </w:p>
              </w:tc>
            </w:tr>
            <w:tr w:rsidR="00AB3EA5" w14:paraId="39056C4D" w14:textId="77777777" w:rsidTr="009D62B0">
              <w:trPr>
                <w:trHeight w:val="302"/>
              </w:trPr>
              <w:tc>
                <w:tcPr>
                  <w:tcW w:w="1403" w:type="dxa"/>
                </w:tcPr>
                <w:p w14:paraId="15EFAB28" w14:textId="77777777" w:rsidR="00AB3EA5" w:rsidRPr="000E1755" w:rsidRDefault="00AB3EA5" w:rsidP="00D345E0">
                  <w:pPr>
                    <w:framePr w:hSpace="180" w:wrap="around" w:vAnchor="text" w:hAnchor="text" w:x="13" w:y="1"/>
                    <w:spacing w:line="360" w:lineRule="auto"/>
                    <w:suppressOverlap/>
                    <w:jc w:val="center"/>
                    <w:rPr>
                      <w:b/>
                    </w:rPr>
                  </w:pPr>
                  <w:proofErr w:type="spellStart"/>
                  <w:r w:rsidRPr="000E1755">
                    <w:rPr>
                      <w:b/>
                    </w:rPr>
                    <w:t>Ebacc</w:t>
                  </w:r>
                  <w:proofErr w:type="spellEnd"/>
                  <w:r w:rsidRPr="000E1755">
                    <w:rPr>
                      <w:b/>
                    </w:rPr>
                    <w:t xml:space="preserve"> C+</w:t>
                  </w:r>
                </w:p>
              </w:tc>
              <w:tc>
                <w:tcPr>
                  <w:tcW w:w="756" w:type="dxa"/>
                </w:tcPr>
                <w:p w14:paraId="2685E564" w14:textId="77777777" w:rsidR="00AB3EA5" w:rsidRDefault="00AB3EA5" w:rsidP="00D345E0">
                  <w:pPr>
                    <w:framePr w:hSpace="180" w:wrap="around" w:vAnchor="text" w:hAnchor="text" w:x="13" w:y="1"/>
                    <w:spacing w:line="360" w:lineRule="auto"/>
                    <w:suppressOverlap/>
                    <w:jc w:val="center"/>
                  </w:pPr>
                  <w:r>
                    <w:t>5.7%</w:t>
                  </w:r>
                </w:p>
              </w:tc>
              <w:tc>
                <w:tcPr>
                  <w:tcW w:w="757" w:type="dxa"/>
                </w:tcPr>
                <w:p w14:paraId="79BDE838" w14:textId="77777777" w:rsidR="00AB3EA5" w:rsidRDefault="00AB3EA5" w:rsidP="00D345E0">
                  <w:pPr>
                    <w:framePr w:hSpace="180" w:wrap="around" w:vAnchor="text" w:hAnchor="text" w:x="13" w:y="1"/>
                    <w:spacing w:line="360" w:lineRule="auto"/>
                    <w:suppressOverlap/>
                    <w:jc w:val="center"/>
                  </w:pPr>
                  <w:r>
                    <w:t>25.8%</w:t>
                  </w:r>
                </w:p>
              </w:tc>
              <w:tc>
                <w:tcPr>
                  <w:tcW w:w="757" w:type="dxa"/>
                </w:tcPr>
                <w:p w14:paraId="0582A3B5" w14:textId="77777777" w:rsidR="00AB3EA5" w:rsidRDefault="00AB3EA5" w:rsidP="00D345E0">
                  <w:pPr>
                    <w:framePr w:hSpace="180" w:wrap="around" w:vAnchor="text" w:hAnchor="text" w:x="13" w:y="1"/>
                    <w:spacing w:line="360" w:lineRule="auto"/>
                    <w:suppressOverlap/>
                    <w:jc w:val="center"/>
                  </w:pPr>
                  <w:r>
                    <w:t>75%</w:t>
                  </w:r>
                </w:p>
              </w:tc>
              <w:tc>
                <w:tcPr>
                  <w:tcW w:w="760" w:type="dxa"/>
                </w:tcPr>
                <w:p w14:paraId="7FCF17DD" w14:textId="77777777" w:rsidR="00AB3EA5" w:rsidRDefault="00AB3EA5" w:rsidP="00D345E0">
                  <w:pPr>
                    <w:framePr w:hSpace="180" w:wrap="around" w:vAnchor="text" w:hAnchor="text" w:x="13" w:y="1"/>
                    <w:spacing w:line="360" w:lineRule="auto"/>
                    <w:suppressOverlap/>
                    <w:jc w:val="center"/>
                  </w:pPr>
                  <w:r>
                    <w:t>66.7%</w:t>
                  </w:r>
                </w:p>
              </w:tc>
              <w:tc>
                <w:tcPr>
                  <w:tcW w:w="3024" w:type="dxa"/>
                  <w:gridSpan w:val="4"/>
                  <w:tcBorders>
                    <w:bottom w:val="single" w:sz="4" w:space="0" w:color="auto"/>
                  </w:tcBorders>
                </w:tcPr>
                <w:p w14:paraId="46D37391" w14:textId="77777777" w:rsidR="00AB3EA5" w:rsidRDefault="00AB3EA5" w:rsidP="00D345E0">
                  <w:pPr>
                    <w:framePr w:hSpace="180" w:wrap="around" w:vAnchor="text" w:hAnchor="text" w:x="13" w:y="1"/>
                    <w:spacing w:line="360" w:lineRule="auto"/>
                    <w:suppressOverlap/>
                    <w:jc w:val="center"/>
                  </w:pPr>
                  <w:r>
                    <w:t>New 1-9 grading</w:t>
                  </w:r>
                </w:p>
              </w:tc>
            </w:tr>
            <w:tr w:rsidR="00AB3EA5" w14:paraId="4255BA02" w14:textId="77777777" w:rsidTr="009D62B0">
              <w:trPr>
                <w:trHeight w:val="302"/>
              </w:trPr>
              <w:tc>
                <w:tcPr>
                  <w:tcW w:w="1403" w:type="dxa"/>
                </w:tcPr>
                <w:p w14:paraId="20188BA9" w14:textId="77777777" w:rsidR="00AB3EA5" w:rsidRPr="000E1755" w:rsidRDefault="00AB3EA5" w:rsidP="00D345E0">
                  <w:pPr>
                    <w:framePr w:hSpace="180" w:wrap="around" w:vAnchor="text" w:hAnchor="text" w:x="13" w:y="1"/>
                    <w:spacing w:line="360" w:lineRule="auto"/>
                    <w:suppressOverlap/>
                    <w:jc w:val="center"/>
                    <w:rPr>
                      <w:b/>
                    </w:rPr>
                  </w:pPr>
                  <w:proofErr w:type="spellStart"/>
                  <w:r w:rsidRPr="000E1755">
                    <w:rPr>
                      <w:b/>
                    </w:rPr>
                    <w:t>Ebacc</w:t>
                  </w:r>
                  <w:proofErr w:type="spellEnd"/>
                  <w:r w:rsidRPr="000E1755">
                    <w:rPr>
                      <w:b/>
                    </w:rPr>
                    <w:t xml:space="preserve"> 5 +</w:t>
                  </w:r>
                </w:p>
              </w:tc>
              <w:tc>
                <w:tcPr>
                  <w:tcW w:w="3031" w:type="dxa"/>
                  <w:gridSpan w:val="4"/>
                </w:tcPr>
                <w:p w14:paraId="68B28305" w14:textId="77777777" w:rsidR="00AB3EA5" w:rsidRDefault="00AB3EA5" w:rsidP="00D345E0">
                  <w:pPr>
                    <w:framePr w:hSpace="180" w:wrap="around" w:vAnchor="text" w:hAnchor="text" w:x="13" w:y="1"/>
                    <w:spacing w:line="360" w:lineRule="auto"/>
                    <w:suppressOverlap/>
                    <w:jc w:val="center"/>
                  </w:pPr>
                  <w:r>
                    <w:t>Old A*-G grading</w:t>
                  </w:r>
                </w:p>
              </w:tc>
              <w:tc>
                <w:tcPr>
                  <w:tcW w:w="753" w:type="dxa"/>
                  <w:shd w:val="clear" w:color="auto" w:fill="99CC00"/>
                </w:tcPr>
                <w:p w14:paraId="2359529A" w14:textId="77777777" w:rsidR="00AB3EA5" w:rsidRDefault="00AB3EA5" w:rsidP="00D345E0">
                  <w:pPr>
                    <w:framePr w:hSpace="180" w:wrap="around" w:vAnchor="text" w:hAnchor="text" w:x="13" w:y="1"/>
                    <w:spacing w:line="360" w:lineRule="auto"/>
                    <w:suppressOverlap/>
                    <w:jc w:val="center"/>
                  </w:pPr>
                  <w:r>
                    <w:t>7.1%</w:t>
                  </w:r>
                </w:p>
              </w:tc>
              <w:tc>
                <w:tcPr>
                  <w:tcW w:w="757" w:type="dxa"/>
                </w:tcPr>
                <w:p w14:paraId="34C2941F" w14:textId="77777777" w:rsidR="00AB3EA5" w:rsidRDefault="00AB3EA5" w:rsidP="00D345E0">
                  <w:pPr>
                    <w:framePr w:hSpace="180" w:wrap="around" w:vAnchor="text" w:hAnchor="text" w:x="13" w:y="1"/>
                    <w:spacing w:line="360" w:lineRule="auto"/>
                    <w:suppressOverlap/>
                    <w:jc w:val="center"/>
                  </w:pPr>
                  <w:r>
                    <w:t>22.8%</w:t>
                  </w:r>
                </w:p>
              </w:tc>
              <w:tc>
                <w:tcPr>
                  <w:tcW w:w="757" w:type="dxa"/>
                </w:tcPr>
                <w:p w14:paraId="27B92941" w14:textId="77777777" w:rsidR="00AB3EA5" w:rsidRDefault="00AB3EA5" w:rsidP="00D345E0">
                  <w:pPr>
                    <w:framePr w:hSpace="180" w:wrap="around" w:vAnchor="text" w:hAnchor="text" w:x="13" w:y="1"/>
                    <w:spacing w:line="360" w:lineRule="auto"/>
                    <w:suppressOverlap/>
                    <w:jc w:val="center"/>
                  </w:pPr>
                  <w:r>
                    <w:t>27.3%</w:t>
                  </w:r>
                </w:p>
              </w:tc>
              <w:tc>
                <w:tcPr>
                  <w:tcW w:w="757" w:type="dxa"/>
                  <w:shd w:val="clear" w:color="auto" w:fill="99CC00"/>
                </w:tcPr>
                <w:p w14:paraId="05705ABD" w14:textId="77777777" w:rsidR="00AB3EA5" w:rsidRDefault="00AB3EA5" w:rsidP="00D345E0">
                  <w:pPr>
                    <w:framePr w:hSpace="180" w:wrap="around" w:vAnchor="text" w:hAnchor="text" w:x="13" w:y="1"/>
                    <w:spacing w:line="360" w:lineRule="auto"/>
                    <w:suppressOverlap/>
                    <w:jc w:val="center"/>
                  </w:pPr>
                  <w:r>
                    <w:t>43.1%</w:t>
                  </w:r>
                </w:p>
              </w:tc>
            </w:tr>
          </w:tbl>
          <w:p w14:paraId="5224010C" w14:textId="174143CF" w:rsidR="00AB3EA5" w:rsidRPr="0024690C" w:rsidRDefault="00AB3EA5" w:rsidP="00AC3D4C">
            <w:pPr>
              <w:ind w:right="-62"/>
              <w:rPr>
                <w:rFonts w:ascii="Helvetica" w:hAnsi="Helvetica"/>
                <w:sz w:val="20"/>
                <w:szCs w:val="20"/>
              </w:rPr>
            </w:pPr>
          </w:p>
        </w:tc>
        <w:tc>
          <w:tcPr>
            <w:tcW w:w="3333" w:type="dxa"/>
          </w:tcPr>
          <w:p w14:paraId="4A4910D6" w14:textId="77777777" w:rsidR="00712FD5" w:rsidRDefault="00712FD5" w:rsidP="00AC3D4C">
            <w:pPr>
              <w:rPr>
                <w:rFonts w:ascii="Helvetica" w:hAnsi="Helvetica"/>
                <w:sz w:val="20"/>
                <w:szCs w:val="20"/>
              </w:rPr>
            </w:pPr>
          </w:p>
          <w:p w14:paraId="7017B5A9" w14:textId="77777777" w:rsidR="00712FD5" w:rsidRDefault="00712FD5" w:rsidP="00AC3D4C">
            <w:pPr>
              <w:rPr>
                <w:rFonts w:ascii="Helvetica" w:hAnsi="Helvetica"/>
                <w:sz w:val="20"/>
                <w:szCs w:val="20"/>
              </w:rPr>
            </w:pPr>
            <w:r w:rsidRPr="001D0CDE">
              <w:rPr>
                <w:rFonts w:ascii="Helvetica" w:hAnsi="Helvetica"/>
                <w:sz w:val="20"/>
                <w:szCs w:val="20"/>
                <w:u w:val="single"/>
              </w:rPr>
              <w:t>Use of the Magic 3</w:t>
            </w:r>
            <w:r>
              <w:rPr>
                <w:rFonts w:ascii="Helvetica" w:hAnsi="Helvetica"/>
                <w:sz w:val="20"/>
                <w:szCs w:val="20"/>
              </w:rPr>
              <w:t xml:space="preserve"> </w:t>
            </w:r>
          </w:p>
          <w:p w14:paraId="58A0FF04" w14:textId="77777777" w:rsidR="00712FD5" w:rsidRDefault="00712FD5" w:rsidP="00AC3D4C">
            <w:pPr>
              <w:rPr>
                <w:rFonts w:ascii="Helvetica" w:hAnsi="Helvetica"/>
                <w:sz w:val="20"/>
                <w:szCs w:val="20"/>
              </w:rPr>
            </w:pPr>
            <w:r>
              <w:rPr>
                <w:rFonts w:ascii="Helvetica" w:hAnsi="Helvetica"/>
                <w:sz w:val="20"/>
                <w:szCs w:val="20"/>
              </w:rPr>
              <w:t>This strategy has proved successful.  Evidence of this can be found in SMT quality assurance, department reviews and department exam analysis.</w:t>
            </w:r>
          </w:p>
          <w:p w14:paraId="33642893" w14:textId="77777777" w:rsidR="00712FD5" w:rsidRPr="001D0CDE" w:rsidRDefault="00712FD5" w:rsidP="00AC3D4C">
            <w:pPr>
              <w:rPr>
                <w:rFonts w:ascii="Helvetica" w:hAnsi="Helvetica"/>
                <w:b/>
                <w:sz w:val="20"/>
                <w:szCs w:val="20"/>
              </w:rPr>
            </w:pPr>
            <w:r w:rsidRPr="001D0CDE">
              <w:rPr>
                <w:rFonts w:ascii="Helvetica" w:hAnsi="Helvetica"/>
                <w:b/>
                <w:sz w:val="20"/>
                <w:szCs w:val="20"/>
              </w:rPr>
              <w:t>Lessons learned</w:t>
            </w:r>
          </w:p>
          <w:p w14:paraId="24756D5D" w14:textId="77777777" w:rsidR="00712FD5" w:rsidRDefault="00712FD5" w:rsidP="00AC3D4C">
            <w:pPr>
              <w:rPr>
                <w:rFonts w:ascii="Helvetica" w:hAnsi="Helvetica"/>
                <w:sz w:val="20"/>
                <w:szCs w:val="20"/>
              </w:rPr>
            </w:pPr>
            <w:r>
              <w:rPr>
                <w:rFonts w:ascii="Helvetica" w:hAnsi="Helvetica"/>
                <w:sz w:val="20"/>
                <w:szCs w:val="20"/>
              </w:rPr>
              <w:t>Literacy – need to use reading ages more effectively to plan teaching for reading.</w:t>
            </w:r>
          </w:p>
          <w:p w14:paraId="47F15A15" w14:textId="77777777" w:rsidR="00712FD5" w:rsidRDefault="00712FD5" w:rsidP="00AC3D4C">
            <w:pPr>
              <w:rPr>
                <w:rFonts w:ascii="Helvetica" w:hAnsi="Helvetica"/>
                <w:sz w:val="20"/>
                <w:szCs w:val="20"/>
              </w:rPr>
            </w:pPr>
            <w:r>
              <w:rPr>
                <w:rFonts w:ascii="Helvetica" w:hAnsi="Helvetica"/>
                <w:sz w:val="20"/>
                <w:szCs w:val="20"/>
              </w:rPr>
              <w:t>Assessment – need to share expertise on how to use assessment to plan effectively and use in-house data systems like the DART.</w:t>
            </w:r>
          </w:p>
          <w:p w14:paraId="1119B48B" w14:textId="77777777" w:rsidR="00712FD5" w:rsidRDefault="00712FD5" w:rsidP="00AC3D4C">
            <w:pPr>
              <w:rPr>
                <w:rFonts w:ascii="Helvetica" w:hAnsi="Helvetica"/>
                <w:sz w:val="20"/>
                <w:szCs w:val="20"/>
              </w:rPr>
            </w:pPr>
            <w:r>
              <w:rPr>
                <w:rFonts w:ascii="Helvetica" w:hAnsi="Helvetica"/>
                <w:sz w:val="20"/>
                <w:szCs w:val="20"/>
              </w:rPr>
              <w:t>Shine – need to refine the use of Shine to ensure that this truly is a challenge for our more able students and not an extension task.  Shine PP students are very small, however, they must be a focus for the Shine team as they are not achieving as well as their peers.</w:t>
            </w:r>
          </w:p>
          <w:p w14:paraId="222FF4F7" w14:textId="77777777" w:rsidR="00712FD5" w:rsidRDefault="00712FD5" w:rsidP="00AC3D4C">
            <w:pPr>
              <w:rPr>
                <w:rFonts w:ascii="Helvetica" w:hAnsi="Helvetica"/>
                <w:sz w:val="20"/>
                <w:szCs w:val="20"/>
              </w:rPr>
            </w:pPr>
          </w:p>
          <w:p w14:paraId="24D5719D" w14:textId="77777777" w:rsidR="00712FD5" w:rsidRDefault="00712FD5" w:rsidP="00AC3D4C">
            <w:pPr>
              <w:rPr>
                <w:rFonts w:ascii="Helvetica" w:hAnsi="Helvetica"/>
                <w:sz w:val="20"/>
                <w:szCs w:val="20"/>
                <w:u w:val="single"/>
              </w:rPr>
            </w:pPr>
          </w:p>
          <w:p w14:paraId="2B744B42" w14:textId="77777777" w:rsidR="00712FD5" w:rsidRDefault="00712FD5" w:rsidP="00AC3D4C">
            <w:pPr>
              <w:rPr>
                <w:rFonts w:ascii="Helvetica" w:hAnsi="Helvetica"/>
                <w:sz w:val="20"/>
                <w:szCs w:val="20"/>
                <w:u w:val="single"/>
              </w:rPr>
            </w:pPr>
          </w:p>
          <w:p w14:paraId="1F29C294" w14:textId="77777777" w:rsidR="00712FD5" w:rsidRDefault="00712FD5" w:rsidP="00AC3D4C">
            <w:pPr>
              <w:rPr>
                <w:rFonts w:ascii="Helvetica" w:hAnsi="Helvetica"/>
                <w:sz w:val="20"/>
                <w:szCs w:val="20"/>
                <w:u w:val="single"/>
              </w:rPr>
            </w:pPr>
            <w:r w:rsidRPr="001D0CDE">
              <w:rPr>
                <w:rFonts w:ascii="Helvetica" w:hAnsi="Helvetica"/>
                <w:sz w:val="20"/>
                <w:szCs w:val="20"/>
                <w:u w:val="single"/>
              </w:rPr>
              <w:t xml:space="preserve">Attendance </w:t>
            </w:r>
          </w:p>
          <w:p w14:paraId="201A7B17" w14:textId="77777777" w:rsidR="00712FD5" w:rsidRDefault="00712FD5" w:rsidP="00AC3D4C">
            <w:pPr>
              <w:rPr>
                <w:rFonts w:ascii="Helvetica" w:hAnsi="Helvetica"/>
                <w:sz w:val="20"/>
                <w:szCs w:val="20"/>
              </w:rPr>
            </w:pPr>
            <w:r w:rsidRPr="001D0CDE">
              <w:rPr>
                <w:rFonts w:ascii="Helvetica" w:hAnsi="Helvetica"/>
                <w:sz w:val="20"/>
                <w:szCs w:val="20"/>
              </w:rPr>
              <w:t xml:space="preserve">Year </w:t>
            </w:r>
            <w:r>
              <w:rPr>
                <w:rFonts w:ascii="Helvetica" w:hAnsi="Helvetica"/>
                <w:sz w:val="20"/>
                <w:szCs w:val="20"/>
              </w:rPr>
              <w:t>on year improvement continues, but there is still a small number of students/families who remain the most hard to reach.</w:t>
            </w:r>
          </w:p>
          <w:p w14:paraId="32F0D43C" w14:textId="77777777" w:rsidR="00712FD5" w:rsidRPr="001D0CDE" w:rsidRDefault="00712FD5" w:rsidP="00AC3D4C">
            <w:pPr>
              <w:rPr>
                <w:rFonts w:ascii="Helvetica" w:hAnsi="Helvetica"/>
                <w:b/>
                <w:sz w:val="20"/>
                <w:szCs w:val="20"/>
              </w:rPr>
            </w:pPr>
            <w:r w:rsidRPr="001D0CDE">
              <w:rPr>
                <w:rFonts w:ascii="Helvetica" w:hAnsi="Helvetica"/>
                <w:b/>
                <w:sz w:val="20"/>
                <w:szCs w:val="20"/>
              </w:rPr>
              <w:t>Lessons learned:</w:t>
            </w:r>
          </w:p>
          <w:p w14:paraId="5C0AC215" w14:textId="77777777" w:rsidR="00712FD5" w:rsidRDefault="00712FD5" w:rsidP="00AC3D4C">
            <w:pPr>
              <w:rPr>
                <w:rFonts w:ascii="Helvetica" w:hAnsi="Helvetica"/>
                <w:sz w:val="20"/>
                <w:szCs w:val="20"/>
              </w:rPr>
            </w:pPr>
            <w:r>
              <w:rPr>
                <w:rFonts w:ascii="Helvetica" w:hAnsi="Helvetica"/>
                <w:sz w:val="20"/>
                <w:szCs w:val="20"/>
              </w:rPr>
              <w:t>Continue to use outside agencies and APLs to raise the profile of attendance and the impact it has on students’ outcomes and life chances.</w:t>
            </w:r>
          </w:p>
          <w:p w14:paraId="23C499FD" w14:textId="77777777" w:rsidR="00712FD5" w:rsidRDefault="00712FD5" w:rsidP="00AC3D4C">
            <w:pPr>
              <w:rPr>
                <w:rFonts w:ascii="Helvetica" w:hAnsi="Helvetica"/>
                <w:sz w:val="20"/>
                <w:szCs w:val="20"/>
              </w:rPr>
            </w:pPr>
          </w:p>
          <w:p w14:paraId="48544A23" w14:textId="77777777" w:rsidR="00712FD5" w:rsidRPr="001D0CDE" w:rsidRDefault="00712FD5" w:rsidP="00AC3D4C">
            <w:pPr>
              <w:rPr>
                <w:rFonts w:ascii="Helvetica" w:hAnsi="Helvetica"/>
                <w:sz w:val="20"/>
                <w:szCs w:val="20"/>
                <w:u w:val="single"/>
              </w:rPr>
            </w:pPr>
            <w:r w:rsidRPr="001D0CDE">
              <w:rPr>
                <w:rFonts w:ascii="Helvetica" w:hAnsi="Helvetica"/>
                <w:sz w:val="20"/>
                <w:szCs w:val="20"/>
                <w:u w:val="single"/>
              </w:rPr>
              <w:t>Broad and Balanced Curriculum</w:t>
            </w:r>
          </w:p>
          <w:p w14:paraId="64AD08A3" w14:textId="77777777" w:rsidR="00712FD5" w:rsidRDefault="00712FD5" w:rsidP="00AC3D4C">
            <w:pPr>
              <w:rPr>
                <w:rFonts w:ascii="Helvetica" w:hAnsi="Helvetica"/>
                <w:sz w:val="20"/>
                <w:szCs w:val="20"/>
              </w:rPr>
            </w:pPr>
            <w:r>
              <w:rPr>
                <w:rFonts w:ascii="Helvetica" w:hAnsi="Helvetica"/>
                <w:sz w:val="20"/>
                <w:szCs w:val="20"/>
              </w:rPr>
              <w:t>We feel that we adapt to arising needs of our students and meet all needs well.</w:t>
            </w:r>
          </w:p>
          <w:p w14:paraId="5D3152F1" w14:textId="77777777" w:rsidR="00712FD5" w:rsidRPr="001D0CDE" w:rsidRDefault="00712FD5" w:rsidP="00AC3D4C">
            <w:pPr>
              <w:rPr>
                <w:rFonts w:ascii="Helvetica" w:hAnsi="Helvetica"/>
                <w:b/>
                <w:sz w:val="20"/>
                <w:szCs w:val="20"/>
              </w:rPr>
            </w:pPr>
            <w:r w:rsidRPr="001D0CDE">
              <w:rPr>
                <w:rFonts w:ascii="Helvetica" w:hAnsi="Helvetica"/>
                <w:b/>
                <w:sz w:val="20"/>
                <w:szCs w:val="20"/>
              </w:rPr>
              <w:t>Lessons learned:</w:t>
            </w:r>
          </w:p>
          <w:p w14:paraId="4847DFCF" w14:textId="36B35527" w:rsidR="00712FD5" w:rsidRPr="001D0CDE" w:rsidRDefault="00712FD5" w:rsidP="00FD40ED">
            <w:pPr>
              <w:rPr>
                <w:rFonts w:ascii="Helvetica" w:hAnsi="Helvetica"/>
                <w:sz w:val="20"/>
                <w:szCs w:val="20"/>
              </w:rPr>
            </w:pPr>
            <w:r>
              <w:rPr>
                <w:rFonts w:ascii="Helvetica" w:hAnsi="Helvetica"/>
                <w:sz w:val="20"/>
                <w:szCs w:val="20"/>
              </w:rPr>
              <w:t>We will need to adapt some of our specifications to ensure they are suitable for our learners.  This has already happened in Maths and will continue with Hair, Construction, Food and Frenc</w:t>
            </w:r>
            <w:r w:rsidR="00FD40ED">
              <w:rPr>
                <w:rFonts w:ascii="Helvetica" w:hAnsi="Helvetica"/>
                <w:sz w:val="20"/>
                <w:szCs w:val="20"/>
              </w:rPr>
              <w:t>h</w:t>
            </w:r>
            <w:r>
              <w:rPr>
                <w:rFonts w:ascii="Helvetica" w:hAnsi="Helvetica"/>
                <w:sz w:val="20"/>
                <w:szCs w:val="20"/>
              </w:rPr>
              <w:t>.</w:t>
            </w:r>
          </w:p>
        </w:tc>
      </w:tr>
    </w:tbl>
    <w:p w14:paraId="434DFD27" w14:textId="77777777" w:rsidR="00A63F8B" w:rsidRDefault="00AC3D4C" w:rsidP="00A63F8B">
      <w:pPr>
        <w:spacing w:after="0" w:line="240" w:lineRule="auto"/>
        <w:ind w:left="-567" w:right="-641"/>
      </w:pPr>
      <w:r>
        <w:lastRenderedPageBreak/>
        <w:br w:type="textWrapping" w:clear="all"/>
      </w:r>
    </w:p>
    <w:p w14:paraId="21F58A9A" w14:textId="77777777" w:rsidR="00971030" w:rsidRDefault="00971030" w:rsidP="00C036D3">
      <w:pPr>
        <w:ind w:right="-643"/>
      </w:pPr>
    </w:p>
    <w:sectPr w:rsidR="00971030" w:rsidSect="00A63F8B">
      <w:pgSz w:w="16838" w:h="11906" w:orient="landscape"/>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96054"/>
    <w:multiLevelType w:val="hybridMultilevel"/>
    <w:tmpl w:val="CFF0C314"/>
    <w:lvl w:ilvl="0" w:tplc="1EB0C8D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F53C94"/>
    <w:multiLevelType w:val="hybridMultilevel"/>
    <w:tmpl w:val="07545CE6"/>
    <w:lvl w:ilvl="0" w:tplc="325443B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AE29A8"/>
    <w:multiLevelType w:val="hybridMultilevel"/>
    <w:tmpl w:val="B2285B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54531D4"/>
    <w:multiLevelType w:val="hybridMultilevel"/>
    <w:tmpl w:val="DC288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8B"/>
    <w:rsid w:val="00090305"/>
    <w:rsid w:val="000905B6"/>
    <w:rsid w:val="000C359D"/>
    <w:rsid w:val="00156555"/>
    <w:rsid w:val="001D0CDE"/>
    <w:rsid w:val="0024690C"/>
    <w:rsid w:val="003F3D93"/>
    <w:rsid w:val="004600B0"/>
    <w:rsid w:val="0049307D"/>
    <w:rsid w:val="006368E5"/>
    <w:rsid w:val="00712FD5"/>
    <w:rsid w:val="0074084D"/>
    <w:rsid w:val="00825892"/>
    <w:rsid w:val="008F4E1A"/>
    <w:rsid w:val="00902AAF"/>
    <w:rsid w:val="00971030"/>
    <w:rsid w:val="009E32CD"/>
    <w:rsid w:val="00A63F8B"/>
    <w:rsid w:val="00A92C88"/>
    <w:rsid w:val="00AB3EA5"/>
    <w:rsid w:val="00AC3D4C"/>
    <w:rsid w:val="00C036D3"/>
    <w:rsid w:val="00CB07FC"/>
    <w:rsid w:val="00D308A6"/>
    <w:rsid w:val="00D345E0"/>
    <w:rsid w:val="00EF6A14"/>
    <w:rsid w:val="00F25FE6"/>
    <w:rsid w:val="00FD40ED"/>
    <w:rsid w:val="00FE63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5A04F"/>
  <w15:docId w15:val="{8E724AF4-4FEF-45EF-B2BB-3C5D3E81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5B6"/>
    <w:pPr>
      <w:ind w:left="720"/>
      <w:contextualSpacing/>
    </w:pPr>
  </w:style>
  <w:style w:type="paragraph" w:styleId="BalloonText">
    <w:name w:val="Balloon Text"/>
    <w:basedOn w:val="Normal"/>
    <w:link w:val="BalloonTextChar"/>
    <w:uiPriority w:val="99"/>
    <w:semiHidden/>
    <w:unhideWhenUsed/>
    <w:rsid w:val="00AC3D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3D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796997">
      <w:bodyDiv w:val="1"/>
      <w:marLeft w:val="0"/>
      <w:marRight w:val="0"/>
      <w:marTop w:val="0"/>
      <w:marBottom w:val="0"/>
      <w:divBdr>
        <w:top w:val="none" w:sz="0" w:space="0" w:color="auto"/>
        <w:left w:val="none" w:sz="0" w:space="0" w:color="auto"/>
        <w:bottom w:val="none" w:sz="0" w:space="0" w:color="auto"/>
        <w:right w:val="none" w:sz="0" w:space="0" w:color="auto"/>
      </w:divBdr>
    </w:div>
    <w:div w:id="16919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1C5F0FE7</Template>
  <TotalTime>1</TotalTime>
  <Pages>3</Pages>
  <Words>540</Words>
  <Characters>3079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Redbridge Community School</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Taylor</dc:creator>
  <cp:keywords/>
  <dc:description/>
  <cp:lastModifiedBy>Sian Taylor</cp:lastModifiedBy>
  <cp:revision>2</cp:revision>
  <dcterms:created xsi:type="dcterms:W3CDTF">2019-02-11T15:04:00Z</dcterms:created>
  <dcterms:modified xsi:type="dcterms:W3CDTF">2019-02-11T15:04:00Z</dcterms:modified>
</cp:coreProperties>
</file>