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F09BC" w:rsidRDefault="00FF09BC" w:rsidP="00FF09BC">
      <w:pPr>
        <w:pStyle w:val="Default"/>
      </w:pPr>
      <w:r w:rsidRPr="00FF09BC">
        <w:rPr>
          <w:noProof/>
          <w:lang w:eastAsia="en-GB"/>
        </w:rPr>
        <mc:AlternateContent>
          <mc:Choice Requires="wps">
            <w:drawing>
              <wp:anchor distT="0" distB="0" distL="114300" distR="114300" simplePos="0" relativeHeight="251661312" behindDoc="0" locked="0" layoutInCell="1" allowOverlap="1" wp14:anchorId="03E6D846" wp14:editId="4A03AB4E">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rsidR="009573F6" w:rsidRPr="00FF09BC" w:rsidRDefault="009573F6"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 xml:space="preserve">Charging and Remissions </w:t>
                            </w:r>
                            <w:r w:rsidRPr="00FF09BC">
                              <w:rPr>
                                <w:rFonts w:asciiTheme="majorHAnsi" w:hAnsiTheme="majorHAnsi"/>
                                <w:color w:val="FFFFFF" w:themeColor="background1"/>
                                <w:sz w:val="90"/>
                                <w:szCs w:val="90"/>
                              </w:rPr>
                              <w:t>Policy</w:t>
                            </w:r>
                          </w:p>
                          <w:p w:rsidR="009573F6" w:rsidRPr="00E95987" w:rsidRDefault="009573F6"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03E6D846"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rsidR="009573F6" w:rsidRPr="00FF09BC" w:rsidRDefault="009573F6"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 xml:space="preserve">Charging and Remissions </w:t>
                      </w:r>
                      <w:r w:rsidRPr="00FF09BC">
                        <w:rPr>
                          <w:rFonts w:asciiTheme="majorHAnsi" w:hAnsiTheme="majorHAnsi"/>
                          <w:color w:val="FFFFFF" w:themeColor="background1"/>
                          <w:sz w:val="90"/>
                          <w:szCs w:val="90"/>
                        </w:rPr>
                        <w:t>Policy</w:t>
                      </w:r>
                    </w:p>
                    <w:p w:rsidR="009573F6" w:rsidRPr="00E95987" w:rsidRDefault="009573F6" w:rsidP="00FF09BC">
                      <w:pPr>
                        <w:rPr>
                          <w:sz w:val="52"/>
                          <w:szCs w:val="52"/>
                        </w:rPr>
                      </w:pPr>
                    </w:p>
                  </w:txbxContent>
                </v:textbox>
              </v:shape>
            </w:pict>
          </mc:Fallback>
        </mc:AlternateContent>
      </w:r>
      <w:r w:rsidRPr="00FF09BC">
        <w:rPr>
          <w:noProof/>
          <w:lang w:eastAsia="en-GB"/>
        </w:rPr>
        <w:drawing>
          <wp:anchor distT="0" distB="0" distL="114300" distR="114300" simplePos="0" relativeHeight="251665408" behindDoc="0" locked="0" layoutInCell="1" allowOverlap="1" wp14:anchorId="24B85329" wp14:editId="4E5B00B8">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09BC">
        <w:rPr>
          <w:noProof/>
          <w:lang w:eastAsia="en-GB"/>
        </w:rPr>
        <mc:AlternateContent>
          <mc:Choice Requires="wps">
            <w:drawing>
              <wp:anchor distT="0" distB="0" distL="114300" distR="114300" simplePos="0" relativeHeight="251663360" behindDoc="0" locked="0" layoutInCell="1" allowOverlap="1" wp14:anchorId="14376EDC" wp14:editId="2DA4A37F">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D34F"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FF09BC">
        <w:rPr>
          <w:noProof/>
          <w:lang w:eastAsia="en-GB"/>
        </w:rPr>
        <mc:AlternateContent>
          <mc:Choice Requires="wps">
            <w:drawing>
              <wp:anchor distT="0" distB="0" distL="114300" distR="114300" simplePos="0" relativeHeight="251662336" behindDoc="0" locked="0" layoutInCell="1" allowOverlap="1" wp14:anchorId="2021141C" wp14:editId="300D28E6">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5FA22"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FF09BC">
        <w:rPr>
          <w:noProof/>
          <w:lang w:eastAsia="en-GB"/>
        </w:rPr>
        <mc:AlternateContent>
          <mc:Choice Requires="wps">
            <w:drawing>
              <wp:anchor distT="0" distB="0" distL="114300" distR="114300" simplePos="0" relativeHeight="251659264" behindDoc="0" locked="0" layoutInCell="1" allowOverlap="1" wp14:anchorId="65DFAEA5" wp14:editId="513BDB2A">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DC8A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rsidTr="00E51ECE">
        <w:tc>
          <w:tcPr>
            <w:tcW w:w="3128" w:type="dxa"/>
            <w:shd w:val="clear" w:color="auto" w:fill="DBE5F1" w:themeFill="accent1" w:themeFillTint="33"/>
          </w:tcPr>
          <w:p w:rsidR="0011666D" w:rsidRDefault="0011666D" w:rsidP="00360D23">
            <w:pPr>
              <w:jc w:val="right"/>
              <w:rPr>
                <w:rFonts w:ascii="Arial" w:hAnsi="Arial" w:cs="Arial"/>
                <w:color w:val="000000"/>
                <w:sz w:val="24"/>
                <w:szCs w:val="24"/>
              </w:rPr>
            </w:pPr>
            <w:r w:rsidRPr="00FF09BC">
              <w:rPr>
                <w:b/>
                <w:color w:val="002060"/>
                <w:sz w:val="30"/>
                <w:szCs w:val="30"/>
              </w:rPr>
              <w:t>Person responsible</w:t>
            </w:r>
            <w:r>
              <w:rPr>
                <w:b/>
                <w:color w:val="002060"/>
                <w:sz w:val="30"/>
                <w:szCs w:val="30"/>
              </w:rPr>
              <w:t xml:space="preserve"> -</w:t>
            </w:r>
            <w:r w:rsidRPr="00FF09BC">
              <w:rPr>
                <w:b/>
                <w:color w:val="002060"/>
                <w:sz w:val="30"/>
                <w:szCs w:val="30"/>
              </w:rPr>
              <w:t xml:space="preserve">  </w:t>
            </w:r>
            <w:r>
              <w:rPr>
                <w:color w:val="002060"/>
                <w:sz w:val="30"/>
                <w:szCs w:val="30"/>
              </w:rPr>
              <w:t xml:space="preserve"> </w:t>
            </w:r>
            <w:r w:rsidRPr="00FF09BC">
              <w:rPr>
                <w:color w:val="002060"/>
                <w:sz w:val="30"/>
                <w:szCs w:val="30"/>
              </w:rPr>
              <w:t xml:space="preserve"> </w:t>
            </w:r>
            <w:r>
              <w:rPr>
                <w:color w:val="002060"/>
                <w:sz w:val="30"/>
                <w:szCs w:val="30"/>
              </w:rPr>
              <w:t xml:space="preserve"> </w:t>
            </w:r>
          </w:p>
        </w:tc>
        <w:tc>
          <w:tcPr>
            <w:tcW w:w="5362" w:type="dxa"/>
            <w:shd w:val="clear" w:color="auto" w:fill="DBE5F1" w:themeFill="accent1" w:themeFillTint="33"/>
          </w:tcPr>
          <w:p w:rsidR="0011666D" w:rsidRPr="00606C1D" w:rsidRDefault="00A70907" w:rsidP="00360D23">
            <w:pPr>
              <w:jc w:val="left"/>
              <w:rPr>
                <w:rFonts w:cstheme="minorHAnsi"/>
                <w:color w:val="002060"/>
                <w:sz w:val="28"/>
                <w:szCs w:val="28"/>
              </w:rPr>
            </w:pPr>
            <w:r w:rsidRPr="00606C1D">
              <w:rPr>
                <w:rFonts w:cstheme="minorHAnsi"/>
                <w:color w:val="002060"/>
                <w:sz w:val="28"/>
                <w:szCs w:val="28"/>
              </w:rPr>
              <w:t>Clare Wall-Bradfield</w:t>
            </w:r>
          </w:p>
        </w:tc>
      </w:tr>
      <w:tr w:rsidR="0011666D" w:rsidTr="00E51ECE">
        <w:tc>
          <w:tcPr>
            <w:tcW w:w="3128" w:type="dxa"/>
            <w:shd w:val="clear" w:color="auto" w:fill="DBE5F1" w:themeFill="accent1" w:themeFillTint="33"/>
          </w:tcPr>
          <w:p w:rsidR="0011666D" w:rsidRDefault="0011666D" w:rsidP="00360D23">
            <w:pPr>
              <w:jc w:val="right"/>
              <w:rPr>
                <w:rFonts w:ascii="Arial" w:hAnsi="Arial" w:cs="Arial"/>
                <w:color w:val="000000"/>
                <w:sz w:val="24"/>
                <w:szCs w:val="24"/>
              </w:rPr>
            </w:pPr>
            <w:r w:rsidRPr="00FF09BC">
              <w:rPr>
                <w:b/>
                <w:color w:val="002060"/>
                <w:sz w:val="30"/>
                <w:szCs w:val="30"/>
              </w:rPr>
              <w:t>Last review date</w:t>
            </w:r>
            <w:r>
              <w:rPr>
                <w:b/>
                <w:color w:val="002060"/>
                <w:sz w:val="30"/>
                <w:szCs w:val="30"/>
              </w:rPr>
              <w:t xml:space="preserve"> -</w:t>
            </w:r>
          </w:p>
        </w:tc>
        <w:tc>
          <w:tcPr>
            <w:tcW w:w="5362" w:type="dxa"/>
            <w:shd w:val="clear" w:color="auto" w:fill="DBE5F1" w:themeFill="accent1" w:themeFillTint="33"/>
          </w:tcPr>
          <w:p w:rsidR="0011666D" w:rsidRPr="00606C1D" w:rsidRDefault="00400B62" w:rsidP="00360D23">
            <w:pPr>
              <w:jc w:val="left"/>
              <w:rPr>
                <w:rFonts w:cstheme="minorHAnsi"/>
                <w:color w:val="002060"/>
                <w:sz w:val="28"/>
                <w:szCs w:val="28"/>
              </w:rPr>
            </w:pPr>
            <w:r w:rsidRPr="00606C1D">
              <w:rPr>
                <w:rFonts w:cstheme="minorHAnsi"/>
                <w:color w:val="002060"/>
                <w:sz w:val="28"/>
                <w:szCs w:val="28"/>
              </w:rPr>
              <w:t>May 2017</w:t>
            </w:r>
          </w:p>
        </w:tc>
      </w:tr>
      <w:tr w:rsidR="0011666D" w:rsidTr="00E51ECE">
        <w:tc>
          <w:tcPr>
            <w:tcW w:w="3128" w:type="dxa"/>
            <w:shd w:val="clear" w:color="auto" w:fill="DBE5F1" w:themeFill="accent1" w:themeFillTint="33"/>
          </w:tcPr>
          <w:p w:rsidR="0011666D" w:rsidRDefault="002B6370" w:rsidP="00360D23">
            <w:pPr>
              <w:jc w:val="right"/>
              <w:rPr>
                <w:rFonts w:ascii="Arial" w:hAnsi="Arial" w:cs="Arial"/>
                <w:color w:val="000000"/>
                <w:sz w:val="24"/>
                <w:szCs w:val="24"/>
              </w:rPr>
            </w:pPr>
            <w:r>
              <w:rPr>
                <w:b/>
                <w:color w:val="002060"/>
                <w:sz w:val="30"/>
                <w:szCs w:val="30"/>
              </w:rPr>
              <w:t>Review date</w:t>
            </w:r>
            <w:r w:rsidR="0011666D">
              <w:rPr>
                <w:b/>
                <w:color w:val="002060"/>
                <w:sz w:val="30"/>
                <w:szCs w:val="30"/>
              </w:rPr>
              <w:t xml:space="preserve"> -</w:t>
            </w:r>
          </w:p>
        </w:tc>
        <w:tc>
          <w:tcPr>
            <w:tcW w:w="5362" w:type="dxa"/>
            <w:shd w:val="clear" w:color="auto" w:fill="DBE5F1" w:themeFill="accent1" w:themeFillTint="33"/>
          </w:tcPr>
          <w:p w:rsidR="0011666D" w:rsidRPr="00606C1D" w:rsidRDefault="00A70907" w:rsidP="00360D23">
            <w:pPr>
              <w:jc w:val="left"/>
              <w:rPr>
                <w:rFonts w:cstheme="minorHAnsi"/>
                <w:color w:val="002060"/>
                <w:sz w:val="28"/>
                <w:szCs w:val="28"/>
              </w:rPr>
            </w:pPr>
            <w:r w:rsidRPr="00606C1D">
              <w:rPr>
                <w:rFonts w:cstheme="minorHAnsi"/>
                <w:color w:val="002060"/>
                <w:sz w:val="28"/>
                <w:szCs w:val="28"/>
              </w:rPr>
              <w:t>May 2019</w:t>
            </w:r>
            <w:r w:rsidR="008810A2">
              <w:rPr>
                <w:rFonts w:cstheme="minorHAnsi"/>
                <w:color w:val="002060"/>
                <w:sz w:val="28"/>
                <w:szCs w:val="28"/>
              </w:rPr>
              <w:t xml:space="preserve"> (to be ratified in 20/21 due to Covid 19)</w:t>
            </w:r>
          </w:p>
        </w:tc>
      </w:tr>
    </w:tbl>
    <w:p w:rsidR="0011666D" w:rsidRDefault="0011666D">
      <w:pPr>
        <w:rPr>
          <w:rFonts w:ascii="Arial" w:hAnsi="Arial" w:cs="Arial"/>
          <w:color w:val="000000"/>
          <w:sz w:val="24"/>
          <w:szCs w:val="24"/>
        </w:rPr>
      </w:pPr>
      <w:r>
        <w:rPr>
          <w:noProof/>
          <w:lang w:eastAsia="en-GB"/>
        </w:rPr>
        <mc:AlternateContent>
          <mc:Choice Requires="wps">
            <w:drawing>
              <wp:anchor distT="0" distB="0" distL="114300" distR="114300" simplePos="0" relativeHeight="251667456" behindDoc="0" locked="0" layoutInCell="1" allowOverlap="1" wp14:anchorId="05C0E4DE" wp14:editId="5418DBDC">
                <wp:simplePos x="0" y="0"/>
                <wp:positionH relativeFrom="column">
                  <wp:posOffset>-400050</wp:posOffset>
                </wp:positionH>
                <wp:positionV relativeFrom="paragraph">
                  <wp:posOffset>5558790</wp:posOffset>
                </wp:positionV>
                <wp:extent cx="6400800" cy="1514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14475"/>
                        </a:xfrm>
                        <a:prstGeom prst="rect">
                          <a:avLst/>
                        </a:prstGeom>
                        <a:solidFill>
                          <a:srgbClr val="FFFFFF"/>
                        </a:solidFill>
                        <a:ln w="9525">
                          <a:solidFill>
                            <a:schemeClr val="bg1"/>
                          </a:solidFill>
                          <a:miter lim="800000"/>
                          <a:headEnd/>
                          <a:tailEnd/>
                        </a:ln>
                      </wps:spPr>
                      <wps:txbx>
                        <w:txbxContent>
                          <w:p w:rsidR="009573F6" w:rsidRPr="009573F6" w:rsidRDefault="009573F6" w:rsidP="009573F6">
                            <w:pPr>
                              <w:rPr>
                                <w:rFonts w:ascii="Arial" w:eastAsia="Calibri" w:hAnsi="Arial" w:cs="Arial"/>
                                <w:sz w:val="20"/>
                                <w:szCs w:val="20"/>
                              </w:rPr>
                            </w:pPr>
                            <w:r w:rsidRPr="009573F6">
                              <w:rPr>
                                <w:rFonts w:ascii="Arial" w:eastAsia="Calibri" w:hAnsi="Arial" w:cs="Arial"/>
                                <w:sz w:val="20"/>
                                <w:szCs w:val="20"/>
                              </w:rPr>
                              <w:t>Under the provisions of the Education Reform Act 1998, charges cannot be made to provide education during school hours. However, to ensure students are offered maximum opportunities voluntary contributions may be invited from parents and charges may be made for musical instrument tuition.</w:t>
                            </w:r>
                          </w:p>
                          <w:p w:rsidR="009573F6" w:rsidRPr="009573F6" w:rsidRDefault="009573F6" w:rsidP="009573F6">
                            <w:pPr>
                              <w:jc w:val="both"/>
                              <w:rPr>
                                <w:rFonts w:ascii="Arial" w:eastAsia="Calibri" w:hAnsi="Arial" w:cs="Arial"/>
                                <w:sz w:val="20"/>
                                <w:szCs w:val="20"/>
                              </w:rPr>
                            </w:pPr>
                          </w:p>
                          <w:p w:rsidR="009573F6" w:rsidRPr="009573F6" w:rsidRDefault="009573F6" w:rsidP="009573F6">
                            <w:pPr>
                              <w:rPr>
                                <w:rFonts w:ascii="Arial" w:eastAsia="Calibri" w:hAnsi="Arial" w:cs="Arial"/>
                                <w:sz w:val="20"/>
                                <w:szCs w:val="20"/>
                              </w:rPr>
                            </w:pPr>
                            <w:r w:rsidRPr="009573F6">
                              <w:rPr>
                                <w:rFonts w:ascii="Arial" w:eastAsia="Calibri" w:hAnsi="Arial" w:cs="Arial"/>
                                <w:sz w:val="20"/>
                                <w:szCs w:val="20"/>
                              </w:rPr>
                              <w:t>In cases where insufficient contributions are available from Parents and Guardians, Redbridge Community School may at its discretion, reduce the scope, or cease altogether the activities.</w:t>
                            </w:r>
                          </w:p>
                          <w:p w:rsidR="009573F6" w:rsidRPr="009573F6" w:rsidRDefault="009573F6" w:rsidP="009573F6">
                            <w:pPr>
                              <w:rPr>
                                <w:rFonts w:ascii="Arial" w:eastAsia="Calibri" w:hAnsi="Arial" w:cs="Arial"/>
                                <w:sz w:val="20"/>
                                <w:szCs w:val="20"/>
                              </w:rPr>
                            </w:pPr>
                          </w:p>
                          <w:p w:rsidR="009573F6" w:rsidRPr="009573F6" w:rsidRDefault="009573F6" w:rsidP="009573F6">
                            <w:pPr>
                              <w:rPr>
                                <w:rFonts w:ascii="Arial" w:eastAsia="Calibri" w:hAnsi="Arial" w:cs="Arial"/>
                                <w:sz w:val="20"/>
                                <w:szCs w:val="20"/>
                              </w:rPr>
                            </w:pPr>
                            <w:r w:rsidRPr="009573F6">
                              <w:rPr>
                                <w:rFonts w:ascii="Arial" w:eastAsia="Calibri" w:hAnsi="Arial" w:cs="Arial"/>
                                <w:sz w:val="20"/>
                                <w:szCs w:val="20"/>
                              </w:rPr>
                              <w:t>Redbridge Community School will ensure that parents on low incomes and in receipt of the benefits listed below know of the support available to them when being asked for contributions towards the cost of school visits.</w:t>
                            </w:r>
                          </w:p>
                          <w:p w:rsidR="009573F6" w:rsidRPr="0011666D" w:rsidRDefault="009573F6" w:rsidP="009573F6">
                            <w:pPr>
                              <w:pStyle w:val="Default"/>
                              <w:jc w:val="center"/>
                              <w:rPr>
                                <w:rFonts w:asciiTheme="minorHAnsi" w:hAnsiTheme="minorHAnsi"/>
                                <w:color w:val="002060"/>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0E4DE" id="_x0000_s1027" type="#_x0000_t202" style="position:absolute;left:0;text-align:left;margin-left:-31.5pt;margin-top:437.7pt;width:7in;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" strokecolor="white [3212]">
                <v:textbox>
                  <w:txbxContent>
                    <w:p w:rsidR="009573F6" w:rsidRPr="009573F6" w:rsidRDefault="009573F6" w:rsidP="009573F6">
                      <w:pPr>
                        <w:rPr>
                          <w:rFonts w:ascii="Arial" w:eastAsia="Calibri" w:hAnsi="Arial" w:cs="Arial"/>
                          <w:sz w:val="20"/>
                          <w:szCs w:val="20"/>
                        </w:rPr>
                      </w:pPr>
                      <w:r w:rsidRPr="009573F6">
                        <w:rPr>
                          <w:rFonts w:ascii="Arial" w:eastAsia="Calibri" w:hAnsi="Arial" w:cs="Arial"/>
                          <w:sz w:val="20"/>
                          <w:szCs w:val="20"/>
                        </w:rPr>
                        <w:t>Under the provisions of the Education Reform Act 1998, charges cannot be made to provide education during school hours. However, to ensure students are offered maximum opportunities voluntary contributions may be invited from parents and charges may be made for musical instrument tuition.</w:t>
                      </w:r>
                    </w:p>
                    <w:p w:rsidR="009573F6" w:rsidRPr="009573F6" w:rsidRDefault="009573F6" w:rsidP="009573F6">
                      <w:pPr>
                        <w:jc w:val="both"/>
                        <w:rPr>
                          <w:rFonts w:ascii="Arial" w:eastAsia="Calibri" w:hAnsi="Arial" w:cs="Arial"/>
                          <w:sz w:val="20"/>
                          <w:szCs w:val="20"/>
                        </w:rPr>
                      </w:pPr>
                    </w:p>
                    <w:p w:rsidR="009573F6" w:rsidRPr="009573F6" w:rsidRDefault="009573F6" w:rsidP="009573F6">
                      <w:pPr>
                        <w:rPr>
                          <w:rFonts w:ascii="Arial" w:eastAsia="Calibri" w:hAnsi="Arial" w:cs="Arial"/>
                          <w:sz w:val="20"/>
                          <w:szCs w:val="20"/>
                        </w:rPr>
                      </w:pPr>
                      <w:r w:rsidRPr="009573F6">
                        <w:rPr>
                          <w:rFonts w:ascii="Arial" w:eastAsia="Calibri" w:hAnsi="Arial" w:cs="Arial"/>
                          <w:sz w:val="20"/>
                          <w:szCs w:val="20"/>
                        </w:rPr>
                        <w:t>In cases where insufficient contributions are available from Parents and Guardians, Redbridge Community School may at its discretion, reduce the scope, or cease altogether the activities.</w:t>
                      </w:r>
                    </w:p>
                    <w:p w:rsidR="009573F6" w:rsidRPr="009573F6" w:rsidRDefault="009573F6" w:rsidP="009573F6">
                      <w:pPr>
                        <w:rPr>
                          <w:rFonts w:ascii="Arial" w:eastAsia="Calibri" w:hAnsi="Arial" w:cs="Arial"/>
                          <w:sz w:val="20"/>
                          <w:szCs w:val="20"/>
                        </w:rPr>
                      </w:pPr>
                    </w:p>
                    <w:p w:rsidR="009573F6" w:rsidRPr="009573F6" w:rsidRDefault="009573F6" w:rsidP="009573F6">
                      <w:pPr>
                        <w:rPr>
                          <w:rFonts w:ascii="Arial" w:eastAsia="Calibri" w:hAnsi="Arial" w:cs="Arial"/>
                          <w:sz w:val="20"/>
                          <w:szCs w:val="20"/>
                        </w:rPr>
                      </w:pPr>
                      <w:r w:rsidRPr="009573F6">
                        <w:rPr>
                          <w:rFonts w:ascii="Arial" w:eastAsia="Calibri" w:hAnsi="Arial" w:cs="Arial"/>
                          <w:sz w:val="20"/>
                          <w:szCs w:val="20"/>
                        </w:rPr>
                        <w:t>Redbridge Community School will ensure that parents on low incomes and in receipt of the benefits listed below know of the support available to them when being asked for contributions towards the cost of school visits.</w:t>
                      </w:r>
                    </w:p>
                    <w:p w:rsidR="009573F6" w:rsidRPr="0011666D" w:rsidRDefault="009573F6" w:rsidP="009573F6">
                      <w:pPr>
                        <w:pStyle w:val="Default"/>
                        <w:jc w:val="center"/>
                        <w:rPr>
                          <w:rFonts w:asciiTheme="minorHAnsi" w:hAnsiTheme="minorHAnsi"/>
                          <w:color w:val="002060"/>
                          <w:sz w:val="30"/>
                          <w:szCs w:val="30"/>
                        </w:rPr>
                      </w:pPr>
                    </w:p>
                  </w:txbxContent>
                </v:textbox>
              </v:shape>
            </w:pict>
          </mc:Fallback>
        </mc:AlternateContent>
      </w:r>
      <w:r>
        <w:rPr>
          <w:noProof/>
          <w:lang w:eastAsia="en-GB"/>
        </w:rPr>
        <w:t xml:space="preserve"> </w:t>
      </w:r>
      <w:r w:rsidR="00FF09BC" w:rsidRPr="00FF09BC">
        <w:rPr>
          <w:noProof/>
          <w:lang w:eastAsia="en-GB"/>
        </w:rPr>
        <w:drawing>
          <wp:anchor distT="0" distB="0" distL="114300" distR="114300" simplePos="0" relativeHeight="251660288" behindDoc="0" locked="0" layoutInCell="1" allowOverlap="1" wp14:anchorId="729AA6E3" wp14:editId="32015870">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FF09BC">
        <w:rPr>
          <w:noProof/>
          <w:lang w:eastAsia="en-GB"/>
        </w:rPr>
        <w:drawing>
          <wp:anchor distT="0" distB="0" distL="114300" distR="114300" simplePos="0" relativeHeight="251664384" behindDoc="0" locked="0" layoutInCell="1" allowOverlap="1" wp14:anchorId="78AA91D5" wp14:editId="42A98DB7">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1634"/>
      </w:tblGrid>
      <w:tr w:rsidR="000C71BA" w:rsidTr="003F74AD">
        <w:trPr>
          <w:trHeight w:val="112"/>
        </w:trPr>
        <w:tc>
          <w:tcPr>
            <w:tcW w:w="8972" w:type="dxa"/>
            <w:gridSpan w:val="3"/>
            <w:shd w:val="clear" w:color="auto" w:fill="002060"/>
          </w:tcPr>
          <w:p w:rsidR="000C71BA" w:rsidRPr="003F74AD" w:rsidRDefault="00473C35" w:rsidP="000C71BA">
            <w:pPr>
              <w:pStyle w:val="Default"/>
              <w:rPr>
                <w:rFonts w:asciiTheme="minorHAnsi" w:hAnsiTheme="minorHAnsi"/>
                <w:sz w:val="28"/>
                <w:szCs w:val="28"/>
              </w:rPr>
            </w:pPr>
            <w:r>
              <w:rPr>
                <w:rFonts w:asciiTheme="minorHAnsi" w:hAnsiTheme="minorHAnsi"/>
                <w:b/>
                <w:bCs/>
                <w:color w:val="FFFFFF" w:themeColor="background1"/>
                <w:sz w:val="28"/>
                <w:szCs w:val="28"/>
              </w:rPr>
              <w:lastRenderedPageBreak/>
              <w:t xml:space="preserve">Contents </w:t>
            </w:r>
            <w:r w:rsidR="000C71BA" w:rsidRPr="003F74AD">
              <w:rPr>
                <w:rFonts w:asciiTheme="minorHAnsi" w:hAnsiTheme="minorHAnsi"/>
                <w:b/>
                <w:bCs/>
                <w:color w:val="FFFFFF" w:themeColor="background1"/>
                <w:sz w:val="28"/>
                <w:szCs w:val="28"/>
              </w:rPr>
              <w:t xml:space="preserve"> </w:t>
            </w:r>
          </w:p>
        </w:tc>
      </w:tr>
      <w:tr w:rsidR="00400B62" w:rsidTr="00400B62">
        <w:trPr>
          <w:trHeight w:val="112"/>
        </w:trPr>
        <w:tc>
          <w:tcPr>
            <w:tcW w:w="421" w:type="dxa"/>
            <w:tcBorders>
              <w:right w:val="single" w:sz="4" w:space="0" w:color="000000" w:themeColor="text1"/>
            </w:tcBorders>
          </w:tcPr>
          <w:p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rsidR="00400B62" w:rsidRPr="003F74AD" w:rsidRDefault="00400B62" w:rsidP="00595FA3">
            <w:pPr>
              <w:pStyle w:val="Default"/>
              <w:ind w:left="175"/>
              <w:rPr>
                <w:rFonts w:asciiTheme="minorHAnsi" w:hAnsiTheme="minorHAnsi"/>
              </w:rPr>
            </w:pPr>
            <w:r>
              <w:rPr>
                <w:rFonts w:asciiTheme="minorHAnsi" w:hAnsiTheme="minorHAnsi"/>
              </w:rPr>
              <w:t>Objective</w:t>
            </w:r>
          </w:p>
        </w:tc>
        <w:tc>
          <w:tcPr>
            <w:tcW w:w="1634" w:type="dxa"/>
            <w:tcBorders>
              <w:left w:val="single" w:sz="4" w:space="0" w:color="000000" w:themeColor="text1"/>
            </w:tcBorders>
          </w:tcPr>
          <w:p w:rsidR="00400B62" w:rsidRPr="003F74AD" w:rsidRDefault="00400B62" w:rsidP="002F6738">
            <w:pPr>
              <w:pStyle w:val="Default"/>
              <w:rPr>
                <w:rFonts w:asciiTheme="minorHAnsi" w:hAnsiTheme="minorHAnsi"/>
              </w:rPr>
            </w:pPr>
            <w:r w:rsidRPr="003F74AD">
              <w:rPr>
                <w:rFonts w:asciiTheme="minorHAnsi" w:hAnsiTheme="minorHAnsi"/>
              </w:rPr>
              <w:t xml:space="preserve">Page 3 </w:t>
            </w:r>
          </w:p>
        </w:tc>
      </w:tr>
      <w:tr w:rsidR="00400B62" w:rsidTr="00400B62">
        <w:trPr>
          <w:trHeight w:val="112"/>
        </w:trPr>
        <w:tc>
          <w:tcPr>
            <w:tcW w:w="421" w:type="dxa"/>
            <w:tcBorders>
              <w:right w:val="single" w:sz="4" w:space="0" w:color="000000" w:themeColor="text1"/>
            </w:tcBorders>
          </w:tcPr>
          <w:p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rsidR="00400B62" w:rsidRDefault="00400B62" w:rsidP="00400B62">
            <w:pPr>
              <w:pStyle w:val="Default"/>
              <w:ind w:left="175"/>
              <w:rPr>
                <w:rFonts w:asciiTheme="minorHAnsi" w:hAnsiTheme="minorHAnsi"/>
              </w:rPr>
            </w:pPr>
            <w:r>
              <w:rPr>
                <w:rFonts w:asciiTheme="minorHAnsi" w:hAnsiTheme="minorHAnsi"/>
              </w:rPr>
              <w:t>Public Examinations</w:t>
            </w:r>
          </w:p>
        </w:tc>
        <w:tc>
          <w:tcPr>
            <w:tcW w:w="1634" w:type="dxa"/>
            <w:tcBorders>
              <w:left w:val="single" w:sz="4" w:space="0" w:color="000000" w:themeColor="text1"/>
            </w:tcBorders>
          </w:tcPr>
          <w:p w:rsidR="00400B62" w:rsidRPr="00400B62" w:rsidRDefault="00400B62" w:rsidP="00400B62">
            <w:pPr>
              <w:jc w:val="left"/>
              <w:rPr>
                <w:sz w:val="24"/>
                <w:szCs w:val="24"/>
              </w:rPr>
            </w:pPr>
            <w:r w:rsidRPr="00400B62">
              <w:rPr>
                <w:sz w:val="24"/>
                <w:szCs w:val="24"/>
              </w:rPr>
              <w:t xml:space="preserve">Page 3 </w:t>
            </w:r>
          </w:p>
        </w:tc>
      </w:tr>
      <w:tr w:rsidR="00400B62" w:rsidTr="00400B62">
        <w:trPr>
          <w:trHeight w:val="112"/>
        </w:trPr>
        <w:tc>
          <w:tcPr>
            <w:tcW w:w="421" w:type="dxa"/>
            <w:tcBorders>
              <w:right w:val="single" w:sz="4" w:space="0" w:color="000000" w:themeColor="text1"/>
            </w:tcBorders>
          </w:tcPr>
          <w:p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rsidR="00400B62" w:rsidRDefault="00400B62" w:rsidP="00400B62">
            <w:pPr>
              <w:pStyle w:val="Default"/>
              <w:ind w:left="175"/>
              <w:rPr>
                <w:rFonts w:asciiTheme="minorHAnsi" w:hAnsiTheme="minorHAnsi"/>
              </w:rPr>
            </w:pPr>
            <w:r>
              <w:rPr>
                <w:rFonts w:asciiTheme="minorHAnsi" w:hAnsiTheme="minorHAnsi"/>
              </w:rPr>
              <w:t xml:space="preserve">Curriculum Activities </w:t>
            </w:r>
          </w:p>
        </w:tc>
        <w:tc>
          <w:tcPr>
            <w:tcW w:w="1634" w:type="dxa"/>
            <w:tcBorders>
              <w:left w:val="single" w:sz="4" w:space="0" w:color="000000" w:themeColor="text1"/>
            </w:tcBorders>
          </w:tcPr>
          <w:p w:rsidR="00400B62" w:rsidRPr="00400B62" w:rsidRDefault="00400B62" w:rsidP="00400B62">
            <w:pPr>
              <w:jc w:val="left"/>
              <w:rPr>
                <w:sz w:val="24"/>
                <w:szCs w:val="24"/>
              </w:rPr>
            </w:pPr>
            <w:r w:rsidRPr="00400B62">
              <w:rPr>
                <w:sz w:val="24"/>
                <w:szCs w:val="24"/>
              </w:rPr>
              <w:t xml:space="preserve">Page 3 </w:t>
            </w:r>
          </w:p>
        </w:tc>
      </w:tr>
      <w:tr w:rsidR="00400B62" w:rsidTr="00400B62">
        <w:trPr>
          <w:trHeight w:val="112"/>
        </w:trPr>
        <w:tc>
          <w:tcPr>
            <w:tcW w:w="421" w:type="dxa"/>
            <w:tcBorders>
              <w:right w:val="single" w:sz="4" w:space="0" w:color="000000" w:themeColor="text1"/>
            </w:tcBorders>
          </w:tcPr>
          <w:p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rsidR="00400B62" w:rsidRDefault="00400B62" w:rsidP="00400B62">
            <w:pPr>
              <w:pStyle w:val="Default"/>
              <w:ind w:left="175"/>
              <w:rPr>
                <w:rFonts w:asciiTheme="minorHAnsi" w:hAnsiTheme="minorHAnsi"/>
              </w:rPr>
            </w:pPr>
            <w:r>
              <w:rPr>
                <w:rFonts w:asciiTheme="minorHAnsi" w:hAnsiTheme="minorHAnsi"/>
              </w:rPr>
              <w:t xml:space="preserve">Extra-Curricular Activities </w:t>
            </w:r>
          </w:p>
        </w:tc>
        <w:tc>
          <w:tcPr>
            <w:tcW w:w="1634" w:type="dxa"/>
            <w:tcBorders>
              <w:left w:val="single" w:sz="4" w:space="0" w:color="000000" w:themeColor="text1"/>
            </w:tcBorders>
          </w:tcPr>
          <w:p w:rsidR="00400B62" w:rsidRPr="00400B62" w:rsidRDefault="00400B62" w:rsidP="00400B62">
            <w:pPr>
              <w:jc w:val="left"/>
              <w:rPr>
                <w:sz w:val="24"/>
                <w:szCs w:val="24"/>
              </w:rPr>
            </w:pPr>
            <w:r w:rsidRPr="00400B62">
              <w:rPr>
                <w:sz w:val="24"/>
                <w:szCs w:val="24"/>
              </w:rPr>
              <w:t xml:space="preserve">Page 3 </w:t>
            </w:r>
          </w:p>
        </w:tc>
      </w:tr>
      <w:tr w:rsidR="00400B62" w:rsidTr="00400B62">
        <w:trPr>
          <w:trHeight w:val="112"/>
        </w:trPr>
        <w:tc>
          <w:tcPr>
            <w:tcW w:w="421" w:type="dxa"/>
            <w:tcBorders>
              <w:right w:val="single" w:sz="4" w:space="0" w:color="000000" w:themeColor="text1"/>
            </w:tcBorders>
          </w:tcPr>
          <w:p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rsidR="00400B62" w:rsidRDefault="00400B62" w:rsidP="00595FA3">
            <w:pPr>
              <w:pStyle w:val="Default"/>
              <w:ind w:left="175"/>
              <w:rPr>
                <w:rFonts w:asciiTheme="minorHAnsi" w:hAnsiTheme="minorHAnsi"/>
              </w:rPr>
            </w:pPr>
            <w:r>
              <w:rPr>
                <w:rFonts w:asciiTheme="minorHAnsi" w:hAnsiTheme="minorHAnsi"/>
              </w:rPr>
              <w:t xml:space="preserve">DT, Food, Textiles and Visual Arts </w:t>
            </w:r>
          </w:p>
        </w:tc>
        <w:tc>
          <w:tcPr>
            <w:tcW w:w="1634" w:type="dxa"/>
            <w:tcBorders>
              <w:left w:val="single" w:sz="4" w:space="0" w:color="000000" w:themeColor="text1"/>
            </w:tcBorders>
          </w:tcPr>
          <w:p w:rsidR="00400B62" w:rsidRPr="003F74AD" w:rsidRDefault="00400B62" w:rsidP="002F6738">
            <w:pPr>
              <w:pStyle w:val="Default"/>
              <w:rPr>
                <w:rFonts w:asciiTheme="minorHAnsi" w:hAnsiTheme="minorHAnsi"/>
              </w:rPr>
            </w:pPr>
            <w:r>
              <w:rPr>
                <w:rFonts w:asciiTheme="minorHAnsi" w:hAnsiTheme="minorHAnsi"/>
              </w:rPr>
              <w:t>Page 4</w:t>
            </w:r>
          </w:p>
        </w:tc>
      </w:tr>
      <w:tr w:rsidR="00400B62" w:rsidTr="00400B62">
        <w:trPr>
          <w:trHeight w:val="112"/>
        </w:trPr>
        <w:tc>
          <w:tcPr>
            <w:tcW w:w="421" w:type="dxa"/>
            <w:tcBorders>
              <w:right w:val="single" w:sz="4" w:space="0" w:color="000000" w:themeColor="text1"/>
            </w:tcBorders>
          </w:tcPr>
          <w:p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rsidR="00400B62" w:rsidRDefault="00400B62" w:rsidP="00400B62">
            <w:pPr>
              <w:pStyle w:val="Default"/>
              <w:ind w:left="175"/>
              <w:rPr>
                <w:rFonts w:asciiTheme="minorHAnsi" w:hAnsiTheme="minorHAnsi"/>
              </w:rPr>
            </w:pPr>
            <w:r>
              <w:rPr>
                <w:rFonts w:asciiTheme="minorHAnsi" w:hAnsiTheme="minorHAnsi"/>
              </w:rPr>
              <w:t xml:space="preserve">Damage to Property and Breakages </w:t>
            </w:r>
          </w:p>
        </w:tc>
        <w:tc>
          <w:tcPr>
            <w:tcW w:w="1634" w:type="dxa"/>
            <w:tcBorders>
              <w:left w:val="single" w:sz="4" w:space="0" w:color="000000" w:themeColor="text1"/>
            </w:tcBorders>
          </w:tcPr>
          <w:p w:rsidR="00400B62" w:rsidRPr="00400B62" w:rsidRDefault="00400B62" w:rsidP="00400B62">
            <w:pPr>
              <w:jc w:val="left"/>
              <w:rPr>
                <w:sz w:val="24"/>
                <w:szCs w:val="24"/>
              </w:rPr>
            </w:pPr>
            <w:r w:rsidRPr="00400B62">
              <w:rPr>
                <w:sz w:val="24"/>
                <w:szCs w:val="24"/>
              </w:rPr>
              <w:t>Page 4</w:t>
            </w:r>
          </w:p>
        </w:tc>
      </w:tr>
      <w:tr w:rsidR="00400B62" w:rsidTr="00400B62">
        <w:trPr>
          <w:trHeight w:val="112"/>
        </w:trPr>
        <w:tc>
          <w:tcPr>
            <w:tcW w:w="421" w:type="dxa"/>
            <w:tcBorders>
              <w:right w:val="single" w:sz="4" w:space="0" w:color="000000" w:themeColor="text1"/>
            </w:tcBorders>
          </w:tcPr>
          <w:p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rsidR="00400B62" w:rsidRDefault="00400B62" w:rsidP="00400B62">
            <w:pPr>
              <w:pStyle w:val="Default"/>
              <w:ind w:left="175"/>
              <w:rPr>
                <w:rFonts w:asciiTheme="minorHAnsi" w:hAnsiTheme="minorHAnsi"/>
              </w:rPr>
            </w:pPr>
            <w:r>
              <w:rPr>
                <w:rFonts w:asciiTheme="minorHAnsi" w:hAnsiTheme="minorHAnsi"/>
              </w:rPr>
              <w:t>Remissions and Concessions</w:t>
            </w:r>
          </w:p>
        </w:tc>
        <w:tc>
          <w:tcPr>
            <w:tcW w:w="1634" w:type="dxa"/>
            <w:tcBorders>
              <w:left w:val="single" w:sz="4" w:space="0" w:color="000000" w:themeColor="text1"/>
            </w:tcBorders>
          </w:tcPr>
          <w:p w:rsidR="00400B62" w:rsidRPr="00400B62" w:rsidRDefault="00400B62" w:rsidP="00400B62">
            <w:pPr>
              <w:jc w:val="left"/>
              <w:rPr>
                <w:sz w:val="24"/>
                <w:szCs w:val="24"/>
              </w:rPr>
            </w:pPr>
            <w:r w:rsidRPr="00400B62">
              <w:rPr>
                <w:sz w:val="24"/>
                <w:szCs w:val="24"/>
              </w:rPr>
              <w:t>Page 4</w:t>
            </w:r>
          </w:p>
        </w:tc>
      </w:tr>
      <w:tr w:rsidR="00400B62" w:rsidTr="00400B62">
        <w:trPr>
          <w:trHeight w:val="112"/>
        </w:trPr>
        <w:tc>
          <w:tcPr>
            <w:tcW w:w="421" w:type="dxa"/>
            <w:tcBorders>
              <w:right w:val="single" w:sz="4" w:space="0" w:color="000000" w:themeColor="text1"/>
            </w:tcBorders>
          </w:tcPr>
          <w:p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rsidR="00400B62" w:rsidRDefault="00400B62" w:rsidP="00400B62">
            <w:pPr>
              <w:pStyle w:val="Default"/>
              <w:ind w:left="175"/>
              <w:rPr>
                <w:rFonts w:asciiTheme="minorHAnsi" w:hAnsiTheme="minorHAnsi"/>
              </w:rPr>
            </w:pPr>
            <w:r>
              <w:rPr>
                <w:rFonts w:asciiTheme="minorHAnsi" w:hAnsiTheme="minorHAnsi"/>
              </w:rPr>
              <w:t>Inability or Unwillingness to Pay</w:t>
            </w:r>
          </w:p>
        </w:tc>
        <w:tc>
          <w:tcPr>
            <w:tcW w:w="1634" w:type="dxa"/>
            <w:tcBorders>
              <w:left w:val="single" w:sz="4" w:space="0" w:color="000000" w:themeColor="text1"/>
            </w:tcBorders>
          </w:tcPr>
          <w:p w:rsidR="00400B62" w:rsidRPr="00400B62" w:rsidRDefault="00400B62" w:rsidP="00400B62">
            <w:pPr>
              <w:jc w:val="left"/>
              <w:rPr>
                <w:sz w:val="24"/>
                <w:szCs w:val="24"/>
              </w:rPr>
            </w:pPr>
            <w:r w:rsidRPr="00400B62">
              <w:rPr>
                <w:sz w:val="24"/>
                <w:szCs w:val="24"/>
              </w:rPr>
              <w:t>Page 4</w:t>
            </w:r>
          </w:p>
        </w:tc>
      </w:tr>
      <w:tr w:rsidR="00400B62" w:rsidTr="00400B62">
        <w:trPr>
          <w:trHeight w:val="112"/>
        </w:trPr>
        <w:tc>
          <w:tcPr>
            <w:tcW w:w="421" w:type="dxa"/>
            <w:tcBorders>
              <w:right w:val="single" w:sz="4" w:space="0" w:color="000000" w:themeColor="text1"/>
            </w:tcBorders>
          </w:tcPr>
          <w:p w:rsidR="00400B62" w:rsidRPr="003F74AD" w:rsidRDefault="00400B62" w:rsidP="00400B62">
            <w:pPr>
              <w:pStyle w:val="Default"/>
              <w:numPr>
                <w:ilvl w:val="0"/>
                <w:numId w:val="22"/>
              </w:numPr>
              <w:rPr>
                <w:rFonts w:asciiTheme="minorHAnsi" w:hAnsiTheme="minorHAnsi"/>
              </w:rPr>
            </w:pPr>
          </w:p>
        </w:tc>
        <w:tc>
          <w:tcPr>
            <w:tcW w:w="6917" w:type="dxa"/>
            <w:tcBorders>
              <w:right w:val="single" w:sz="4" w:space="0" w:color="000000" w:themeColor="text1"/>
            </w:tcBorders>
          </w:tcPr>
          <w:p w:rsidR="00400B62" w:rsidRDefault="00400B62" w:rsidP="00400B62">
            <w:pPr>
              <w:pStyle w:val="Default"/>
              <w:ind w:left="175"/>
              <w:rPr>
                <w:rFonts w:asciiTheme="minorHAnsi" w:hAnsiTheme="minorHAnsi"/>
              </w:rPr>
            </w:pPr>
            <w:r>
              <w:rPr>
                <w:rFonts w:asciiTheme="minorHAnsi" w:hAnsiTheme="minorHAnsi"/>
              </w:rPr>
              <w:t xml:space="preserve">General </w:t>
            </w:r>
          </w:p>
        </w:tc>
        <w:tc>
          <w:tcPr>
            <w:tcW w:w="1634" w:type="dxa"/>
            <w:tcBorders>
              <w:left w:val="single" w:sz="4" w:space="0" w:color="000000" w:themeColor="text1"/>
            </w:tcBorders>
          </w:tcPr>
          <w:p w:rsidR="00400B62" w:rsidRPr="00400B62" w:rsidRDefault="00400B62" w:rsidP="00400B62">
            <w:pPr>
              <w:jc w:val="left"/>
              <w:rPr>
                <w:sz w:val="24"/>
                <w:szCs w:val="24"/>
              </w:rPr>
            </w:pPr>
            <w:r w:rsidRPr="00400B62">
              <w:rPr>
                <w:sz w:val="24"/>
                <w:szCs w:val="24"/>
              </w:rPr>
              <w:t>Page 4</w:t>
            </w:r>
          </w:p>
        </w:tc>
      </w:tr>
    </w:tbl>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A31C6D" w:rsidRDefault="00A31C6D"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FB209E" w:rsidRDefault="00FB209E" w:rsidP="00A31C6D">
      <w:pPr>
        <w:jc w:val="left"/>
        <w:rPr>
          <w:rFonts w:cs="Arial"/>
        </w:rPr>
      </w:pPr>
    </w:p>
    <w:p w:rsidR="00A31C6D" w:rsidRDefault="00A31C6D" w:rsidP="00A31C6D">
      <w:pPr>
        <w:jc w:val="left"/>
        <w:rPr>
          <w:rFonts w:cs="Arial"/>
        </w:rPr>
      </w:pPr>
    </w:p>
    <w:p w:rsidR="00400B62" w:rsidRDefault="00400B62" w:rsidP="00A31C6D">
      <w:pPr>
        <w:jc w:val="left"/>
        <w:rPr>
          <w:rFonts w:cs="Arial"/>
        </w:rPr>
      </w:pPr>
    </w:p>
    <w:p w:rsidR="00400B62" w:rsidRDefault="00400B62" w:rsidP="00A31C6D">
      <w:pPr>
        <w:jc w:val="left"/>
        <w:rPr>
          <w:rFonts w:cs="Arial"/>
        </w:rPr>
      </w:pPr>
    </w:p>
    <w:p w:rsidR="009573F6" w:rsidRPr="009573F6" w:rsidRDefault="009573F6" w:rsidP="009573F6">
      <w:pPr>
        <w:jc w:val="left"/>
        <w:rPr>
          <w:rFonts w:ascii="Arial" w:eastAsia="Times New Roman" w:hAnsi="Arial" w:cs="Arial"/>
          <w:sz w:val="20"/>
          <w:szCs w:val="20"/>
          <w:lang w:eastAsia="en-GB"/>
        </w:rPr>
      </w:pPr>
    </w:p>
    <w:p w:rsidR="009573F6" w:rsidRPr="009573F6" w:rsidRDefault="009573F6" w:rsidP="009573F6">
      <w:pPr>
        <w:keepNext/>
        <w:tabs>
          <w:tab w:val="num" w:pos="360"/>
        </w:tabs>
        <w:ind w:left="540" w:hanging="540"/>
        <w:jc w:val="both"/>
        <w:outlineLvl w:val="0"/>
        <w:rPr>
          <w:rFonts w:ascii="Arial" w:eastAsia="Times New Roman" w:hAnsi="Arial" w:cs="Arial"/>
          <w:b/>
          <w:sz w:val="20"/>
          <w:szCs w:val="20"/>
          <w:lang w:eastAsia="en-GB"/>
        </w:rPr>
      </w:pPr>
      <w:r w:rsidRPr="009573F6">
        <w:rPr>
          <w:rFonts w:ascii="Arial" w:eastAsia="Times New Roman" w:hAnsi="Arial" w:cs="Arial"/>
          <w:b/>
          <w:sz w:val="20"/>
          <w:szCs w:val="20"/>
          <w:lang w:eastAsia="en-GB"/>
        </w:rPr>
        <w:lastRenderedPageBreak/>
        <w:t>Objectives</w:t>
      </w:r>
    </w:p>
    <w:p w:rsidR="009573F6" w:rsidRPr="009573F6" w:rsidRDefault="009573F6" w:rsidP="009573F6">
      <w:pPr>
        <w:jc w:val="both"/>
        <w:rPr>
          <w:rFonts w:ascii="Arial" w:eastAsia="Calibri" w:hAnsi="Arial" w:cs="Arial"/>
          <w:sz w:val="20"/>
          <w:szCs w:val="20"/>
        </w:rPr>
      </w:pPr>
      <w:r w:rsidRPr="009573F6">
        <w:rPr>
          <w:rFonts w:ascii="Arial" w:eastAsia="Calibri" w:hAnsi="Arial" w:cs="Arial"/>
          <w:sz w:val="20"/>
          <w:szCs w:val="20"/>
        </w:rPr>
        <w:t>It is the Governing Body’s objective to make every effort to provide maximum educational opportunities to the pupils within its delegated budget.  However, where any activity is likely to absorb additional resources to the detriment of the curriculum in general, then voluntary contributions will be invited, or, as a last resort, the activity will be discontinued.</w:t>
      </w:r>
    </w:p>
    <w:p w:rsidR="009573F6" w:rsidRPr="009573F6" w:rsidRDefault="009573F6" w:rsidP="009573F6">
      <w:pPr>
        <w:keepNext/>
        <w:ind w:left="540" w:hanging="540"/>
        <w:jc w:val="both"/>
        <w:outlineLvl w:val="1"/>
        <w:rPr>
          <w:rFonts w:ascii="Arial" w:eastAsia="Times New Roman" w:hAnsi="Arial" w:cs="Arial"/>
          <w:sz w:val="20"/>
          <w:szCs w:val="20"/>
          <w:lang w:eastAsia="en-GB"/>
        </w:rPr>
      </w:pPr>
    </w:p>
    <w:p w:rsidR="009573F6" w:rsidRPr="009573F6" w:rsidRDefault="009573F6" w:rsidP="009573F6">
      <w:pPr>
        <w:keepNext/>
        <w:ind w:left="540" w:hanging="540"/>
        <w:jc w:val="both"/>
        <w:outlineLvl w:val="1"/>
        <w:rPr>
          <w:rFonts w:ascii="Arial" w:eastAsia="Times New Roman" w:hAnsi="Arial" w:cs="Arial"/>
          <w:b/>
          <w:sz w:val="20"/>
          <w:szCs w:val="20"/>
          <w:lang w:eastAsia="en-GB"/>
        </w:rPr>
      </w:pPr>
      <w:r w:rsidRPr="009573F6">
        <w:rPr>
          <w:rFonts w:ascii="Arial" w:eastAsia="Times New Roman" w:hAnsi="Arial" w:cs="Arial"/>
          <w:b/>
          <w:sz w:val="20"/>
          <w:szCs w:val="20"/>
          <w:lang w:eastAsia="en-GB"/>
        </w:rPr>
        <w:t>Public examinations</w:t>
      </w:r>
    </w:p>
    <w:p w:rsidR="009573F6" w:rsidRPr="009573F6" w:rsidRDefault="009573F6" w:rsidP="009573F6">
      <w:pPr>
        <w:keepNext/>
        <w:jc w:val="both"/>
        <w:outlineLvl w:val="1"/>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There is no charge for examinations that are part of the curriculum where children have been prepared for the examinations by Redbridge Community School.  However, if the pupil fails without good reason to meet an examination requirement or fails to attend the exam, the school may recover the fees incurred from those </w:t>
      </w:r>
      <w:r w:rsidR="00606C1D" w:rsidRPr="009573F6">
        <w:rPr>
          <w:rFonts w:ascii="Arial" w:eastAsia="Times New Roman" w:hAnsi="Arial" w:cs="Arial"/>
          <w:sz w:val="20"/>
          <w:szCs w:val="20"/>
          <w:lang w:eastAsia="en-GB"/>
        </w:rPr>
        <w:t>pupils’</w:t>
      </w:r>
      <w:r w:rsidRPr="009573F6">
        <w:rPr>
          <w:rFonts w:ascii="Arial" w:eastAsia="Times New Roman" w:hAnsi="Arial" w:cs="Arial"/>
          <w:sz w:val="20"/>
          <w:szCs w:val="20"/>
          <w:lang w:eastAsia="en-GB"/>
        </w:rPr>
        <w:t xml:space="preserve"> parents.  </w:t>
      </w:r>
    </w:p>
    <w:p w:rsidR="009573F6" w:rsidRPr="009573F6" w:rsidRDefault="009573F6" w:rsidP="009573F6">
      <w:pPr>
        <w:keepNext/>
        <w:jc w:val="both"/>
        <w:outlineLvl w:val="1"/>
        <w:rPr>
          <w:rFonts w:ascii="Arial" w:eastAsia="Times New Roman" w:hAnsi="Arial" w:cs="Arial"/>
          <w:sz w:val="20"/>
          <w:szCs w:val="20"/>
          <w:lang w:eastAsia="en-GB"/>
        </w:rPr>
      </w:pPr>
    </w:p>
    <w:p w:rsidR="009573F6" w:rsidRPr="009573F6" w:rsidRDefault="009573F6" w:rsidP="009573F6">
      <w:pPr>
        <w:keepNext/>
        <w:ind w:left="540" w:hanging="540"/>
        <w:jc w:val="both"/>
        <w:outlineLvl w:val="1"/>
        <w:rPr>
          <w:rFonts w:ascii="Arial" w:eastAsia="Times New Roman" w:hAnsi="Arial" w:cs="Arial"/>
          <w:b/>
          <w:sz w:val="20"/>
          <w:szCs w:val="20"/>
          <w:lang w:eastAsia="en-GB"/>
        </w:rPr>
      </w:pPr>
      <w:r w:rsidRPr="009573F6">
        <w:rPr>
          <w:rFonts w:ascii="Arial" w:eastAsia="Times New Roman" w:hAnsi="Arial" w:cs="Arial"/>
          <w:b/>
          <w:sz w:val="20"/>
          <w:szCs w:val="20"/>
          <w:lang w:eastAsia="en-GB"/>
        </w:rPr>
        <w:t>Curriculum Activities</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All activities taking place during school time are free of charge and all necessary materials, books and instruments will be provided from school resources except in cases identified elsewhere in this policy.  Parents or guardians remain responsible for providing suitable clothing and footwear for all school activities including Physical Education.  The school will provide any Personal Protective Equipment, for example in Technology or Science.  </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b/>
          <w:sz w:val="20"/>
          <w:szCs w:val="20"/>
          <w:lang w:eastAsia="en-GB"/>
        </w:rPr>
      </w:pPr>
      <w:r w:rsidRPr="009573F6">
        <w:rPr>
          <w:rFonts w:ascii="Arial" w:eastAsia="Times New Roman" w:hAnsi="Arial" w:cs="Arial"/>
          <w:b/>
          <w:sz w:val="20"/>
          <w:szCs w:val="20"/>
          <w:lang w:eastAsia="en-GB"/>
        </w:rPr>
        <w:t>Extra-curricular activities</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Charges may be made for some activities that are known as ‘optional extras’.  Where an optional extra is being provided, a charge may be made for providing materials, books, instruments or equipment.  Optional extras are:</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numPr>
          <w:ilvl w:val="0"/>
          <w:numId w:val="20"/>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Extra-curricular activities provided outside of school time that are not part of the national curriculum;</w:t>
      </w:r>
    </w:p>
    <w:p w:rsidR="009573F6" w:rsidRPr="009573F6" w:rsidRDefault="009573F6" w:rsidP="009573F6">
      <w:pPr>
        <w:numPr>
          <w:ilvl w:val="0"/>
          <w:numId w:val="20"/>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Not part of a syllabus for a prescribed public examination that the pupil is being prepared for at the school; or</w:t>
      </w:r>
    </w:p>
    <w:p w:rsidR="009573F6" w:rsidRPr="009573F6" w:rsidRDefault="009573F6" w:rsidP="009573F6">
      <w:pPr>
        <w:numPr>
          <w:ilvl w:val="0"/>
          <w:numId w:val="20"/>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not part of Religious Education;</w:t>
      </w:r>
    </w:p>
    <w:p w:rsidR="009573F6" w:rsidRPr="009573F6" w:rsidRDefault="009573F6" w:rsidP="009573F6">
      <w:pPr>
        <w:numPr>
          <w:ilvl w:val="0"/>
          <w:numId w:val="20"/>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Examination entry fees if the registered pupil has not been prepared for the examination at the school;</w:t>
      </w:r>
    </w:p>
    <w:p w:rsidR="009573F6" w:rsidRPr="009573F6" w:rsidRDefault="009573F6" w:rsidP="009573F6">
      <w:pPr>
        <w:numPr>
          <w:ilvl w:val="0"/>
          <w:numId w:val="20"/>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Transport;</w:t>
      </w:r>
    </w:p>
    <w:p w:rsidR="009573F6" w:rsidRPr="009573F6" w:rsidRDefault="009573F6" w:rsidP="009573F6">
      <w:pPr>
        <w:numPr>
          <w:ilvl w:val="0"/>
          <w:numId w:val="20"/>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Board and lodging for a pupil on a residential visit;</w:t>
      </w:r>
    </w:p>
    <w:p w:rsidR="009573F6" w:rsidRPr="009573F6" w:rsidRDefault="009573F6" w:rsidP="009573F6">
      <w:pPr>
        <w:numPr>
          <w:ilvl w:val="0"/>
          <w:numId w:val="20"/>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Extended day service offered to pupil (for example breakfast club, after school clubs, team and supervised homework sessions);</w:t>
      </w:r>
    </w:p>
    <w:p w:rsidR="009573F6" w:rsidRPr="009573F6" w:rsidRDefault="009573F6" w:rsidP="009573F6">
      <w:pPr>
        <w:numPr>
          <w:ilvl w:val="0"/>
          <w:numId w:val="20"/>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Tickets or entry fees for activities or events</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In calculating the cost of optional extras an amount maybe in included in relation to:</w:t>
      </w:r>
    </w:p>
    <w:p w:rsidR="009573F6" w:rsidRPr="009573F6" w:rsidRDefault="009573F6" w:rsidP="009573F6">
      <w:pPr>
        <w:numPr>
          <w:ilvl w:val="0"/>
          <w:numId w:val="21"/>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any materials, books, instruments or equipment provided in connection with the optional extra</w:t>
      </w:r>
    </w:p>
    <w:p w:rsidR="009573F6" w:rsidRPr="009573F6" w:rsidRDefault="009573F6" w:rsidP="009573F6">
      <w:pPr>
        <w:numPr>
          <w:ilvl w:val="0"/>
          <w:numId w:val="21"/>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the cost of board and accommodation</w:t>
      </w:r>
    </w:p>
    <w:p w:rsidR="009573F6" w:rsidRPr="009573F6" w:rsidRDefault="00606C1D" w:rsidP="009573F6">
      <w:pPr>
        <w:numPr>
          <w:ilvl w:val="0"/>
          <w:numId w:val="21"/>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non-teaching</w:t>
      </w:r>
      <w:r w:rsidR="009573F6" w:rsidRPr="009573F6">
        <w:rPr>
          <w:rFonts w:ascii="Arial" w:eastAsia="Times New Roman" w:hAnsi="Arial" w:cs="Arial"/>
          <w:sz w:val="20"/>
          <w:szCs w:val="20"/>
          <w:lang w:eastAsia="en-GB"/>
        </w:rPr>
        <w:t xml:space="preserve"> staff</w:t>
      </w:r>
    </w:p>
    <w:p w:rsidR="009573F6" w:rsidRPr="009573F6" w:rsidRDefault="009573F6" w:rsidP="009573F6">
      <w:pPr>
        <w:numPr>
          <w:ilvl w:val="0"/>
          <w:numId w:val="21"/>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teaching staff engaged under contract for services purely to provide an options extra, this includes supply teachers engaged specifically to provide the optional extra and the cost, or an appropriate portion of the costs, for teaching staff employed to provide tuition in playing a musical instrument or vocal tuition where the tuition is an optional extra</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Any charge made in respect of individual pupils will not exceed the actual cost of providing the optional extra activity, divided equally by the number of pupils participating.  </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Participation in any optional extra activity will be on the basis of parental choice and a willingness to meet the charges. </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The school will help wherever it can with the cost of trips, to afford everyone the same opportunities.  If a parent is unable to pay they should speak to the organiser of the trip to see if there is any Pupil premium funding that can be applied for to help with the cost. </w:t>
      </w:r>
    </w:p>
    <w:p w:rsidR="009573F6" w:rsidRPr="009573F6" w:rsidRDefault="009573F6" w:rsidP="009573F6">
      <w:pPr>
        <w:ind w:left="540" w:hanging="540"/>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i/>
          <w:sz w:val="20"/>
          <w:szCs w:val="20"/>
          <w:lang w:eastAsia="en-GB"/>
        </w:rPr>
      </w:pPr>
      <w:r w:rsidRPr="009573F6">
        <w:rPr>
          <w:rFonts w:ascii="Arial" w:eastAsia="Times New Roman" w:hAnsi="Arial" w:cs="Arial"/>
          <w:i/>
          <w:sz w:val="20"/>
          <w:szCs w:val="20"/>
          <w:lang w:eastAsia="en-GB"/>
        </w:rPr>
        <w:lastRenderedPageBreak/>
        <w:t>NOTE: If money is not received from the parent/guardian by the deadline the school reserves the right to remove the student from the trip. Payment schedules will be given to the parents when booking on a trip and will be enforced, and the school reserves the right to restrict future involvement on trips.</w:t>
      </w:r>
    </w:p>
    <w:p w:rsidR="009573F6" w:rsidRPr="009573F6" w:rsidRDefault="009573F6" w:rsidP="009573F6">
      <w:pPr>
        <w:jc w:val="both"/>
        <w:rPr>
          <w:rFonts w:ascii="Arial" w:eastAsia="Times New Roman" w:hAnsi="Arial" w:cs="Arial"/>
          <w:color w:val="FF0000"/>
          <w:sz w:val="20"/>
          <w:szCs w:val="20"/>
          <w:lang w:eastAsia="en-GB"/>
        </w:rPr>
      </w:pPr>
    </w:p>
    <w:p w:rsidR="009573F6" w:rsidRPr="009573F6" w:rsidRDefault="009573F6" w:rsidP="009573F6">
      <w:pPr>
        <w:ind w:left="540" w:hanging="540"/>
        <w:jc w:val="both"/>
        <w:rPr>
          <w:rFonts w:ascii="Arial" w:eastAsia="Times New Roman" w:hAnsi="Arial" w:cs="Arial"/>
          <w:sz w:val="20"/>
          <w:szCs w:val="20"/>
          <w:lang w:eastAsia="en-GB"/>
        </w:rPr>
      </w:pPr>
    </w:p>
    <w:p w:rsidR="009573F6" w:rsidRPr="009573F6" w:rsidRDefault="009573F6" w:rsidP="009573F6">
      <w:pPr>
        <w:jc w:val="left"/>
        <w:rPr>
          <w:rFonts w:ascii="Arial" w:eastAsia="Times New Roman" w:hAnsi="Arial" w:cs="Arial"/>
          <w:b/>
          <w:sz w:val="20"/>
          <w:szCs w:val="20"/>
          <w:lang w:eastAsia="en-GB"/>
        </w:rPr>
      </w:pPr>
      <w:r w:rsidRPr="009573F6">
        <w:rPr>
          <w:rFonts w:ascii="Arial" w:eastAsia="Times New Roman" w:hAnsi="Arial" w:cs="Arial"/>
          <w:b/>
          <w:sz w:val="20"/>
          <w:szCs w:val="20"/>
          <w:lang w:eastAsia="en-GB"/>
        </w:rPr>
        <w:t>Design Technology, Food/Hospitality &amp; Catering, Textiles &amp; the Visual Arts</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Some materials needed for </w:t>
      </w:r>
      <w:r w:rsidR="00606C1D" w:rsidRPr="009573F6">
        <w:rPr>
          <w:rFonts w:ascii="Arial" w:eastAsia="Times New Roman" w:hAnsi="Arial" w:cs="Arial"/>
          <w:sz w:val="20"/>
          <w:szCs w:val="20"/>
          <w:lang w:eastAsia="en-GB"/>
        </w:rPr>
        <w:t>student’s</w:t>
      </w:r>
      <w:r w:rsidRPr="009573F6">
        <w:rPr>
          <w:rFonts w:ascii="Arial" w:eastAsia="Times New Roman" w:hAnsi="Arial" w:cs="Arial"/>
          <w:sz w:val="20"/>
          <w:szCs w:val="20"/>
          <w:lang w:eastAsia="en-GB"/>
        </w:rPr>
        <w:t xml:space="preserve"> coursework will be charged to the student. Parents will either be informed about a materials cost during the students project, or invariably collect materials themselves, with the student, during the planning stages of that individuals course project.</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Parents who may find it difficult to make a payment or provide ingredients can ask to discuss individual cases to resolve issues in preventing individual students participating in any of the timetabled lessons. </w:t>
      </w:r>
    </w:p>
    <w:p w:rsidR="009573F6" w:rsidRPr="009573F6" w:rsidRDefault="009573F6" w:rsidP="009573F6">
      <w:pPr>
        <w:ind w:left="540" w:hanging="540"/>
        <w:jc w:val="both"/>
        <w:rPr>
          <w:rFonts w:ascii="Arial" w:eastAsia="Times New Roman" w:hAnsi="Arial" w:cs="Arial"/>
          <w:sz w:val="20"/>
          <w:szCs w:val="20"/>
          <w:lang w:eastAsia="en-GB"/>
        </w:rPr>
      </w:pPr>
    </w:p>
    <w:p w:rsidR="009573F6" w:rsidRPr="009573F6" w:rsidRDefault="009573F6" w:rsidP="009573F6">
      <w:pPr>
        <w:ind w:left="540" w:hanging="540"/>
        <w:jc w:val="both"/>
        <w:rPr>
          <w:rFonts w:ascii="Arial" w:eastAsia="Times New Roman" w:hAnsi="Arial" w:cs="Arial"/>
          <w:b/>
          <w:sz w:val="20"/>
          <w:szCs w:val="20"/>
          <w:lang w:eastAsia="en-GB"/>
        </w:rPr>
      </w:pPr>
      <w:r w:rsidRPr="009573F6">
        <w:rPr>
          <w:rFonts w:ascii="Arial" w:eastAsia="Times New Roman" w:hAnsi="Arial" w:cs="Arial"/>
          <w:b/>
          <w:sz w:val="20"/>
          <w:szCs w:val="20"/>
          <w:lang w:eastAsia="en-GB"/>
        </w:rPr>
        <w:t>Damage to property and breakages</w:t>
      </w:r>
    </w:p>
    <w:p w:rsidR="009573F6" w:rsidRPr="009573F6" w:rsidRDefault="009573F6" w:rsidP="009573F6">
      <w:pPr>
        <w:numPr>
          <w:ilvl w:val="0"/>
          <w:numId w:val="19"/>
        </w:numPr>
        <w:spacing w:after="200" w:line="276" w:lineRule="auto"/>
        <w:contextualSpacing/>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Where school property has been wilfully or recklessly damaged by a student or parent the school may charge those responsible for some or all of the cost of repair or replacement. </w:t>
      </w:r>
    </w:p>
    <w:p w:rsidR="009573F6" w:rsidRPr="009573F6" w:rsidRDefault="009573F6" w:rsidP="009573F6">
      <w:pPr>
        <w:numPr>
          <w:ilvl w:val="0"/>
          <w:numId w:val="19"/>
        </w:numPr>
        <w:spacing w:after="200" w:line="276" w:lineRule="auto"/>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Where property belonging to a third party has been damaged by a pupil and the school has been charged the school may charge some or all of the cost to those responsible. </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Whether or not those charges will be made will be decided by the Headteacher and dependent on the situation. </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b/>
          <w:sz w:val="20"/>
          <w:szCs w:val="20"/>
          <w:lang w:eastAsia="en-GB"/>
        </w:rPr>
      </w:pPr>
      <w:r w:rsidRPr="009573F6">
        <w:rPr>
          <w:rFonts w:ascii="Arial" w:eastAsia="Times New Roman" w:hAnsi="Arial" w:cs="Arial"/>
          <w:b/>
          <w:sz w:val="20"/>
          <w:szCs w:val="20"/>
          <w:lang w:eastAsia="en-GB"/>
        </w:rPr>
        <w:t>Remission and concessions</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The school will give consideration to the remission of charges to parents or carer who receive the following support payments:</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Income support</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Income based job seekers allowance</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Child tax credit</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Support under part VI of the immigration and Asylum Act 1999</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Guaranteed Element of state pension credit</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Income related employment and support allowance</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Universal credit</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Children of families who receive these payments are also entitled to free school meals.  Parents who are eligible for the remission of charges will be deal with confidentially. </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The Headteacher and Chair of Governors will authorise the remission of charges.</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The school may choose to subsidise part or all of the payment of some charges for certain activities and pupils, and this will be determined by the Headteacher. </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b/>
          <w:sz w:val="20"/>
          <w:szCs w:val="20"/>
          <w:lang w:eastAsia="en-GB"/>
        </w:rPr>
      </w:pPr>
    </w:p>
    <w:p w:rsidR="009573F6" w:rsidRPr="009573F6" w:rsidRDefault="009573F6" w:rsidP="009573F6">
      <w:pPr>
        <w:jc w:val="both"/>
        <w:rPr>
          <w:rFonts w:ascii="Arial" w:eastAsia="Times New Roman" w:hAnsi="Arial" w:cs="Arial"/>
          <w:b/>
          <w:sz w:val="20"/>
          <w:szCs w:val="20"/>
          <w:lang w:eastAsia="en-GB"/>
        </w:rPr>
      </w:pPr>
      <w:r w:rsidRPr="009573F6">
        <w:rPr>
          <w:rFonts w:ascii="Arial" w:eastAsia="Times New Roman" w:hAnsi="Arial" w:cs="Arial"/>
          <w:b/>
          <w:sz w:val="20"/>
          <w:szCs w:val="20"/>
          <w:lang w:eastAsia="en-GB"/>
        </w:rPr>
        <w:t>Inability or unwillingness to pay</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Redbridge Community </w:t>
      </w:r>
      <w:r w:rsidR="00606C1D" w:rsidRPr="009573F6">
        <w:rPr>
          <w:rFonts w:ascii="Arial" w:eastAsia="Times New Roman" w:hAnsi="Arial" w:cs="Arial"/>
          <w:sz w:val="20"/>
          <w:szCs w:val="20"/>
          <w:lang w:eastAsia="en-GB"/>
        </w:rPr>
        <w:t>School</w:t>
      </w:r>
      <w:r w:rsidRPr="009573F6">
        <w:rPr>
          <w:rFonts w:ascii="Arial" w:eastAsia="Times New Roman" w:hAnsi="Arial" w:cs="Arial"/>
          <w:sz w:val="20"/>
          <w:szCs w:val="20"/>
          <w:lang w:eastAsia="en-GB"/>
        </w:rPr>
        <w:t xml:space="preserve"> is committed to ensuring fair access and treatment of all pupils, and this means ensuring that no child is excluded from an activity because the parents or carers of that child are unwilling or unable to pay.  If there is insufficient funding for an activity then it will be cancelled. </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 xml:space="preserve">The identity of the child or parents who did not want to make a payment or could not make a payment will not be disclosed under any circumstances. </w:t>
      </w:r>
    </w:p>
    <w:p w:rsidR="009573F6" w:rsidRPr="009573F6" w:rsidRDefault="009573F6" w:rsidP="009573F6">
      <w:pPr>
        <w:jc w:val="both"/>
        <w:rPr>
          <w:rFonts w:ascii="Arial" w:eastAsia="Times New Roman" w:hAnsi="Arial" w:cs="Arial"/>
          <w:sz w:val="20"/>
          <w:szCs w:val="20"/>
          <w:lang w:eastAsia="en-GB"/>
        </w:rPr>
      </w:pPr>
    </w:p>
    <w:p w:rsidR="009573F6" w:rsidRPr="009573F6" w:rsidRDefault="009573F6" w:rsidP="009573F6">
      <w:pPr>
        <w:ind w:left="480"/>
        <w:jc w:val="both"/>
        <w:rPr>
          <w:rFonts w:ascii="Arial" w:eastAsia="Times New Roman" w:hAnsi="Arial" w:cs="Arial"/>
          <w:sz w:val="20"/>
          <w:szCs w:val="20"/>
          <w:lang w:eastAsia="en-GB"/>
        </w:rPr>
      </w:pPr>
    </w:p>
    <w:p w:rsidR="009573F6" w:rsidRPr="009573F6" w:rsidRDefault="009573F6" w:rsidP="009573F6">
      <w:pPr>
        <w:ind w:left="540" w:hanging="540"/>
        <w:jc w:val="both"/>
        <w:rPr>
          <w:rFonts w:ascii="Arial" w:eastAsia="Times New Roman" w:hAnsi="Arial" w:cs="Arial"/>
          <w:b/>
          <w:sz w:val="20"/>
          <w:szCs w:val="20"/>
          <w:lang w:eastAsia="en-GB"/>
        </w:rPr>
      </w:pPr>
      <w:r w:rsidRPr="009573F6">
        <w:rPr>
          <w:rFonts w:ascii="Arial" w:eastAsia="Times New Roman" w:hAnsi="Arial" w:cs="Arial"/>
          <w:b/>
          <w:sz w:val="20"/>
          <w:szCs w:val="20"/>
          <w:lang w:eastAsia="en-GB"/>
        </w:rPr>
        <w:t>General</w:t>
      </w:r>
    </w:p>
    <w:p w:rsidR="009573F6" w:rsidRPr="009573F6" w:rsidRDefault="009573F6" w:rsidP="009573F6">
      <w:pPr>
        <w:jc w:val="both"/>
        <w:rPr>
          <w:rFonts w:ascii="Arial" w:eastAsia="Times New Roman" w:hAnsi="Arial" w:cs="Arial"/>
          <w:sz w:val="20"/>
          <w:szCs w:val="20"/>
          <w:lang w:eastAsia="en-GB"/>
        </w:rPr>
      </w:pPr>
      <w:r w:rsidRPr="009573F6">
        <w:rPr>
          <w:rFonts w:ascii="Arial" w:eastAsia="Times New Roman" w:hAnsi="Arial" w:cs="Arial"/>
          <w:sz w:val="20"/>
          <w:szCs w:val="20"/>
          <w:lang w:eastAsia="en-GB"/>
        </w:rPr>
        <w:t>Details of all activities for which a contribution is sought, or a charge made, will be circulated to parents and guardians well in advance of the activity.  The Governors hope that parents and guardians will be as helpful as possible in making contributions and supporting the fund raising activities.</w:t>
      </w:r>
    </w:p>
    <w:p w:rsidR="00A31C6D" w:rsidRPr="00D17DCB" w:rsidRDefault="00A31C6D" w:rsidP="009573F6">
      <w:pPr>
        <w:jc w:val="left"/>
        <w:rPr>
          <w:rFonts w:cstheme="minorHAnsi"/>
        </w:rPr>
      </w:pPr>
    </w:p>
    <w:sectPr w:rsidR="00A31C6D" w:rsidRPr="00D17D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F6" w:rsidRDefault="009573F6" w:rsidP="002E2DC8">
      <w:r>
        <w:separator/>
      </w:r>
    </w:p>
  </w:endnote>
  <w:endnote w:type="continuationSeparator" w:id="0">
    <w:p w:rsidR="009573F6" w:rsidRDefault="009573F6"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9573F6">
      <w:tc>
        <w:tcPr>
          <w:tcW w:w="918" w:type="dxa"/>
        </w:tcPr>
        <w:p w:rsidR="009573F6" w:rsidRDefault="009573F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73DFC" w:rsidRPr="00873DF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573F6" w:rsidRDefault="009573F6">
          <w:pPr>
            <w:pStyle w:val="Footer"/>
          </w:pPr>
        </w:p>
      </w:tc>
    </w:tr>
  </w:tbl>
  <w:p w:rsidR="009573F6" w:rsidRDefault="00957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F6" w:rsidRDefault="009573F6" w:rsidP="002E2DC8">
      <w:r>
        <w:separator/>
      </w:r>
    </w:p>
  </w:footnote>
  <w:footnote w:type="continuationSeparator" w:id="0">
    <w:p w:rsidR="009573F6" w:rsidRDefault="009573F6"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747F3"/>
    <w:multiLevelType w:val="hybridMultilevel"/>
    <w:tmpl w:val="906E4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56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403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A6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A1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A22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B4278C"/>
    <w:multiLevelType w:val="hybridMultilevel"/>
    <w:tmpl w:val="74FC8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57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A66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9D50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AB2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992C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DC1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22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A62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6E1505"/>
    <w:multiLevelType w:val="hybridMultilevel"/>
    <w:tmpl w:val="EDA0D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8D04D9"/>
    <w:multiLevelType w:val="hybridMultilevel"/>
    <w:tmpl w:val="4AFC1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EA7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B838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D882D14"/>
    <w:multiLevelType w:val="singleLevel"/>
    <w:tmpl w:val="08948F00"/>
    <w:lvl w:ilvl="0">
      <w:start w:val="1"/>
      <w:numFmt w:val="lowerLetter"/>
      <w:lvlText w:val="%1)"/>
      <w:lvlJc w:val="left"/>
      <w:pPr>
        <w:tabs>
          <w:tab w:val="num" w:pos="360"/>
        </w:tabs>
        <w:ind w:left="360" w:hanging="360"/>
      </w:pPr>
      <w:rPr>
        <w:rFonts w:ascii="Arial" w:eastAsia="Times New Roman" w:hAnsi="Arial" w:cs="Arial"/>
      </w:rPr>
    </w:lvl>
  </w:abstractNum>
  <w:num w:numId="1">
    <w:abstractNumId w:val="0"/>
  </w:num>
  <w:num w:numId="2">
    <w:abstractNumId w:val="15"/>
  </w:num>
  <w:num w:numId="3">
    <w:abstractNumId w:val="3"/>
  </w:num>
  <w:num w:numId="4">
    <w:abstractNumId w:val="14"/>
  </w:num>
  <w:num w:numId="5">
    <w:abstractNumId w:val="6"/>
  </w:num>
  <w:num w:numId="6">
    <w:abstractNumId w:val="19"/>
  </w:num>
  <w:num w:numId="7">
    <w:abstractNumId w:val="20"/>
  </w:num>
  <w:num w:numId="8">
    <w:abstractNumId w:val="10"/>
  </w:num>
  <w:num w:numId="9">
    <w:abstractNumId w:val="8"/>
  </w:num>
  <w:num w:numId="10">
    <w:abstractNumId w:val="11"/>
  </w:num>
  <w:num w:numId="11">
    <w:abstractNumId w:val="13"/>
  </w:num>
  <w:num w:numId="12">
    <w:abstractNumId w:val="16"/>
  </w:num>
  <w:num w:numId="13">
    <w:abstractNumId w:val="9"/>
  </w:num>
  <w:num w:numId="14">
    <w:abstractNumId w:val="5"/>
  </w:num>
  <w:num w:numId="15">
    <w:abstractNumId w:val="4"/>
  </w:num>
  <w:num w:numId="16">
    <w:abstractNumId w:val="2"/>
  </w:num>
  <w:num w:numId="17">
    <w:abstractNumId w:val="18"/>
  </w:num>
  <w:num w:numId="18">
    <w:abstractNumId w:val="17"/>
  </w:num>
  <w:num w:numId="19">
    <w:abstractNumId w:val="21"/>
  </w:num>
  <w:num w:numId="20">
    <w:abstractNumId w:val="7"/>
  </w:num>
  <w:num w:numId="21">
    <w:abstractNumId w:val="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C71BA"/>
    <w:rsid w:val="000E4763"/>
    <w:rsid w:val="0011666D"/>
    <w:rsid w:val="00121FFA"/>
    <w:rsid w:val="0018417C"/>
    <w:rsid w:val="002B6370"/>
    <w:rsid w:val="002E2DC8"/>
    <w:rsid w:val="002F6738"/>
    <w:rsid w:val="00360D23"/>
    <w:rsid w:val="003E72A3"/>
    <w:rsid w:val="003F74AD"/>
    <w:rsid w:val="00400B62"/>
    <w:rsid w:val="00427B25"/>
    <w:rsid w:val="00473C35"/>
    <w:rsid w:val="004E453E"/>
    <w:rsid w:val="00595FA3"/>
    <w:rsid w:val="005E3F46"/>
    <w:rsid w:val="00606C1D"/>
    <w:rsid w:val="00721C24"/>
    <w:rsid w:val="007678AA"/>
    <w:rsid w:val="007C777A"/>
    <w:rsid w:val="00873DFC"/>
    <w:rsid w:val="008810A2"/>
    <w:rsid w:val="008A2797"/>
    <w:rsid w:val="009218A1"/>
    <w:rsid w:val="009573F6"/>
    <w:rsid w:val="009763EF"/>
    <w:rsid w:val="009C1C00"/>
    <w:rsid w:val="009C5BA9"/>
    <w:rsid w:val="00A31C6D"/>
    <w:rsid w:val="00A70907"/>
    <w:rsid w:val="00AD68E3"/>
    <w:rsid w:val="00B24952"/>
    <w:rsid w:val="00C95325"/>
    <w:rsid w:val="00D17DCB"/>
    <w:rsid w:val="00DE20C7"/>
    <w:rsid w:val="00E47BE9"/>
    <w:rsid w:val="00E51ECE"/>
    <w:rsid w:val="00E71439"/>
    <w:rsid w:val="00F23075"/>
    <w:rsid w:val="00F608A6"/>
    <w:rsid w:val="00FB209E"/>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F1D31-4AC2-46AB-B189-65A89E3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8D54E3AD.dotm</Template>
  <TotalTime>0</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cp:lastPrinted>2017-10-02T10:05:00Z</cp:lastPrinted>
  <dcterms:created xsi:type="dcterms:W3CDTF">2020-09-16T08:47:00Z</dcterms:created>
  <dcterms:modified xsi:type="dcterms:W3CDTF">2020-09-16T08:47:00Z</dcterms:modified>
</cp:coreProperties>
</file>